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600" w:beforeAutospacing="0" w:after="0" w:afterAutospacing="0" w:line="585" w:lineRule="atLeast"/>
        <w:ind w:left="0" w:right="0"/>
        <w:jc w:val="center"/>
      </w:pPr>
      <w:r>
        <w:rPr>
          <w:rFonts w:hint="eastAsia" w:ascii="方正小标宋简体" w:hAnsi="方正小标宋简体" w:eastAsia="方正小标宋简体" w:cs="方正小标宋简体"/>
          <w:i w:val="0"/>
          <w:caps w:val="0"/>
          <w:color w:val="3D3D3D"/>
          <w:spacing w:val="0"/>
          <w:sz w:val="43"/>
          <w:szCs w:val="43"/>
          <w:shd w:val="clear" w:fill="FFFFFF"/>
          <w:lang w:eastAsia="zh-CN"/>
        </w:rPr>
        <w:t>静海区</w:t>
      </w:r>
      <w:r>
        <w:rPr>
          <w:rFonts w:hint="eastAsia" w:ascii="方正小标宋简体" w:hAnsi="方正小标宋简体" w:eastAsia="方正小标宋简体" w:cs="方正小标宋简体"/>
          <w:i w:val="0"/>
          <w:caps w:val="0"/>
          <w:color w:val="3D3D3D"/>
          <w:spacing w:val="0"/>
          <w:sz w:val="43"/>
          <w:szCs w:val="43"/>
          <w:shd w:val="clear" w:fill="FFFFFF"/>
        </w:rPr>
        <w:t>“免申即享”政策清单</w:t>
      </w:r>
    </w:p>
    <w:tbl>
      <w:tblPr>
        <w:tblStyle w:val="3"/>
        <w:tblW w:w="8513"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96"/>
        <w:gridCol w:w="393"/>
        <w:gridCol w:w="1035"/>
        <w:gridCol w:w="2080"/>
        <w:gridCol w:w="1071"/>
        <w:gridCol w:w="818"/>
        <w:gridCol w:w="656"/>
        <w:gridCol w:w="990"/>
        <w:gridCol w:w="97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60" w:hRule="atLeast"/>
        </w:trPr>
        <w:tc>
          <w:tcPr>
            <w:tcW w:w="49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ascii="黑体" w:hAnsi="宋体" w:eastAsia="黑体" w:cs="黑体"/>
                <w:sz w:val="24"/>
                <w:szCs w:val="24"/>
              </w:rPr>
              <w:t>序号</w:t>
            </w:r>
          </w:p>
        </w:tc>
        <w:tc>
          <w:tcPr>
            <w:tcW w:w="39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主管部门</w:t>
            </w:r>
          </w:p>
        </w:tc>
        <w:tc>
          <w:tcPr>
            <w:tcW w:w="103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事项名称</w:t>
            </w:r>
          </w:p>
        </w:tc>
        <w:tc>
          <w:tcPr>
            <w:tcW w:w="20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政策内容</w:t>
            </w:r>
          </w:p>
        </w:tc>
        <w:tc>
          <w:tcPr>
            <w:tcW w:w="1071"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政策依据</w:t>
            </w:r>
          </w:p>
        </w:tc>
        <w:tc>
          <w:tcPr>
            <w:tcW w:w="81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实施部门</w:t>
            </w:r>
          </w:p>
        </w:tc>
        <w:tc>
          <w:tcPr>
            <w:tcW w:w="65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咨询电话</w:t>
            </w:r>
          </w:p>
        </w:tc>
        <w:tc>
          <w:tcPr>
            <w:tcW w:w="99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黑体" w:hAnsi="宋体" w:eastAsia="黑体" w:cs="黑体"/>
                <w:sz w:val="24"/>
                <w:szCs w:val="24"/>
              </w:rPr>
              <w:t>备注</w:t>
            </w:r>
          </w:p>
        </w:tc>
        <w:tc>
          <w:tcPr>
            <w:tcW w:w="974"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黑体" w:hAnsi="宋体" w:eastAsia="黑体" w:cs="黑体"/>
                <w:sz w:val="24"/>
                <w:szCs w:val="24"/>
                <w:lang w:eastAsia="zh-CN"/>
              </w:rPr>
            </w:pPr>
            <w:r>
              <w:rPr>
                <w:rFonts w:hint="eastAsia" w:ascii="黑体" w:hAnsi="宋体" w:eastAsia="黑体" w:cs="黑体"/>
                <w:sz w:val="24"/>
                <w:szCs w:val="24"/>
                <w:lang w:eastAsia="zh-CN"/>
              </w:rPr>
              <w:t>涉及区级部门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1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3"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市发展改革委</w:t>
            </w:r>
          </w:p>
        </w:tc>
        <w:tc>
          <w:tcPr>
            <w:tcW w:w="1035"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企业投资项目备案</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工程建设领域符合以下条件的，可以免于企业投资项目备案：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1、社会投资类维修改造（不使用财政资金、不新增固定资产、非国有控股、非文物和优秀历史建筑工程）项目；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2、160千瓦及以下低压工商业等所有外部电源工程；</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3、原挖原换的市政管网（自来水给排水、燃气供热、通信等400万元以下）项目；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4、环境整治（粉刷墙面、清运垃圾等400万元以下）项目；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5、绿化补植、 绿化造林类（400万元以下）项目；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6、社区（村容、村貌）整治（400万元以下）项目。</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《市发展改革委关于公布工程建设领域审批事项豁免清单和减少申请材料清单的通知》</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市发展和改革委、各区审批局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24538211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8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3"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35"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针对社会投资低风险项目、带方案出让土地和规划建设条件明确项目、既有建筑改造项目取消在线备案环节，通过信息共享，在联审系统自动完成项目备案。</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《关于印发天津市工程建设项目“清单制+告知承诺制”审批改革实施方案的通知》（津住建政务〔2020〕16号）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市发展和改革委、各区审批局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24538211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4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市生态环境局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建设项目环境影响报告书（表）许可</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新冠肺炎疫情防控期间，临时性（包括临时性建设使用，临时性改扩建或转产等）的国家和地方党委政府认定继续的医疗卫生、物资生产、研究试验等建设项目，可豁免环境影响评价手续。</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《关于做好新型冠状病毒感染肺炎疫情防控期间有关建设项目环境影响评价应急服务保障的通知》（环办环评函〔2020〕56号）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各级环评文件审批部门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87671863</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35"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临时占用城市绿化用地许可</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千瓦及以下低压工商业等所有外部电源工程，不再办理建设工程规划许可、临时占用绿化用地许可、占用挖掘道路许可等审批事项，只要明确破路方案、破绿方案、占路保护及不低于原设计标准的恢复方式即可施工。</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《天津市人民政府关于印发天津市工程建设项目审批制度改革试点实施方案的通知》（津政发〔2018〕22号）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0"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临时占用、挖掘城市道路及依附城市道路建设管线、杆线等设施许可</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各级城市道路养护管理部门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24538466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05"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临时占用城市绿化用地许可</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新装、增容等配套服务的35千伏及以下电压等级，长度在200米及以下的配套电力线性工程，不再办理核准、规划、临时占用绿化用地、占用挖掘城市道路等审批事项。涉及占掘道路、占用、破坏城市绿地，建设管理单位在明确破路、破绿方案、占路保护方案，并与相关设施养护管理部门签订管理协议，凡涉及公共安全的，在征得公安机关交通管理部门同意，并承诺不低于原设计标准的方式恢复被破道路、被占绿地后即可施工。建设项目建设期内使用临时电供电的架空电力线性工程参照执行。</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《关于印发&lt;简化中低压等级配套电力线性工程审批流程实施方案&gt;的函》（津政务函〔2019〕53号）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75"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临时占用、挖掘城市道路及依附城市道路建设管线、杆线等设施许可</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各级城市道路养护管理部门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24538466</w:t>
            </w:r>
          </w:p>
        </w:tc>
        <w:tc>
          <w:tcPr>
            <w:tcW w:w="99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64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工程建设涉及城市绿地、树木许可</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占用城市绿地建设的通信基站，单站址建设高度不超过45米，占地面积不超过10平方米。其中基站铁塔占地面积不超过5平方米；配套机柜不超过4个，占地面积不超过5平方米。市内六区单站址建设高度不超过35米，占地面积不超过5平方米。其中基站铁塔占地面积不超过2平方米；配套机柜不超过2个，占地面积不超过3平方米（其他行政区结合本区域实际参照执行）。此类基站无需办理规划审批事项，在不影响绿地和城市景观的前提下，建设单位凭通信管理部门出具的通信基站建设证明、各区人民政府批复的通信基站站址专项规划作为建设通信基站的文件依据，无需办理涉及城市绿地、树木许可，建设单位凭以上材料与绿地管理单位沟通后进场施工，绿地管理单位配合做好有关工作。</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《关于优化通信基站站址建设行政审批工作的通知》（津政务发〔2020〕25号 ）</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35"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临时占用城市绿化用地许可</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路径长度不大于200米的35千伏及以下电力线路工程，不再办理规划审批手续、临时占用绿化用地、占用挖掘城市道路等审批事项。涉及占掘道路、占用、破坏城市绿地，建设管理单位应明确破路、破绿方案、占路保护方案，并与相关设施养护管理部门签订管理协议。涉及公共安全的，在征得公安交通管理部门同意，且承诺以不低于原设计标准的方式恢复被破道路、被占绿地后即可施工。</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《关于印发&lt;持续优化电力工程建设项目政务服务工作方案&gt;的通知》（津政服〔2020〕15号）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100"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临时占用、挖掘城市道路及依附城市道路建设管线、杆线等设施许可</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各级城市道路养护管理部门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24538466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75"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临时占用城市绿化用地许可</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小时总用气量小于25立方米且不涉及外线的项目、接入中低压燃气管线长度200米及以内（不含过桥）的局部接驳项目，不再办理临时占用、挖掘城市道路和临时占用绿地许可事项，建设单位与养护管理部门签订管理协议（涉及交通安全的，还需征得公安交管部门同意）即可施工。</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《关于印发&lt;进一步优化营商环境深化用气报装改革实施方案&gt;的通知》（津城管服〔2020〕106号）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00"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临时占用、挖掘城市道路及依附城市道路建设管线、杆线等设施许可</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各级城市道路养护管理部门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24538466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20"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临时占用城市绿化用地许可</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我市简易低风险项目或长度在200米以下的供水排水接入配套工程不再办理工程规划相关行政许可事项；对于我市简易低风险项目或供水连接水管直径不大于30厘米，排水连接水管直径不大于50厘米，长度在200米以下的局部管线接驳工程，不再办理项目备案，占用挖掘城市道路、临时占用城市绿化用地等行政许可事项。涉及占用挖掘城市道路、临时占用城市绿化用地的，建设单位提供破路方案、破绿方案、占路保护方案，确定管线的后期养护管理单位，与相关设施养护管理部门签订管理协议（凡涉及交通安全、迁移一般树木的，施工前需征得公安交管、城市管理部门同意），并承诺不低于原设计标准恢复被占绿地后，即可施工。</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《关于印发&lt;进一步优化供排水接入配套工程中政务服务实施方案&gt;的通知》（津水政服〔2021〕1号）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100"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临时占用、挖掘城市道路及依附城市道路建设管线、杆线等设施许可</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各级城市道路养护管理部门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24538466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02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市城市管理委</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临时占用城市绿化用地许可</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确电力工程项目涉绿相关工程费用，电力工程项目在占用城市绿地时，要提前与产权单位沟通，优化占绿方案，最大限度保护现有城市树木，经产权单位同意并与其签订赔偿协议后方可施工。路径长度不大于200米的110千伏及以上电力线路工程临时占用城市绿化用地的，依据规划资源部门审批的行政许可手续核定占用绿地位置并与产权单位签订赔偿协议后即可施工，不再办理相关审批手续，涉及树木迁移的，应当事先告知城市管理主管部门，并报送符合有关标准规范的城市树木迁移方案。实现电源送出功能的环网箱、控制箱、杆塔等电力设施永久占用绿化用地的，依据规划资源部门审批的行政许可手续核定占用绿地位置并与产权单位签订赔偿协议后即可施工，涉及树木迁移的，应当事先告知城市管理主管部门，并报送符合有关标准规范的城市树木迁移方案。</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《深化电力领域审批制度改革优化电力工程建设审批流程工作方案》（津政服〔2022〕15号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各级树木、绿地养护管理部门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24538891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区政务服务办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85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企业所得税优惠事项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享受所得税优惠事项采取“自行判别、申报享受、相关资料留存备查”的办理方式。企业应当根据经营情况以及相关税收规定自行判断是否符合优惠事项规定的条件，符合条件的可以自行计算减免税额，并通过填报企业所得税纳税申报表享受税收优惠。同时，按照规定归集和留存相关资料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《国家税务总局关于发布修订后的&lt;企业所得税优惠政策事项办理办法&gt;的公告》（国家税务总局公告2018年第23号）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24465622</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所得税优惠事项是指企业所得税法规定的优惠事项，以及国务院和民族自治地方根据企业所得税法授权制定的企业所得税优惠事项。包括免税收入、减计收入、加计扣除、加速折旧、所得减免、抵扣应纳税所得额、减低税率、税额抵免等</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3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企业所得税资产损失申报扣除</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向税务机关申报扣除资产损失，仅需填报企业所得税年度纳税申报表《资产损失税前扣除及纳税调整明细表》，不再报送资产损失相关资料。相关资料由企业留存备查。企业应当完整保存资产损失相关资料，保证资料的真实性、合法性。适用于2017年度及以后年度企业所得税汇算清缴。</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《关于企业所得税资产损失资料留存备查有关事项的公告》（国家税务总局公告2018年第15号）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24465622</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89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增值税申报享受税收减免</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除增值税即征即退的增值税优惠事项，依纳税人申报即可享受相关优惠政策，无需备案。相关资料留存备查。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《纳税服务规范》</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24465644</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不含增值税即征即退的增值税优惠事项</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4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残疾人就业保障金征收管理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缴费人享受地方教育附加和残疾人就业保障金优惠实行“自行判别、申报享受、有关资料留存备查”办理方式，申报时无须再向税务机关提供有关资料。缴费人根据具体政策规定自行判断是否符合优惠条件，符合条件的，缴费人申报享受减免优惠，并将有关资料留存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《关于地方教育附加和残疾人就业保障金优惠事项资料留存备查的公告》（国家税务总局天津市税务局公告2019年第14号）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残疾人就业保障金关于用人单位遇不可抗力、自然灾害或其他突发事件遭受重大直接经济损失需申请减免或者缓缴保障金的情况除外</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85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残疾人就业保障金征收管理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1月1日至2022年12月31日，对残保金实行分档减缴征收。用人单位安排残疾人就业比例达到1%（含）以上，但未达到本市规定就业比例1.5%的，按规定应缴费额的50%缴纳残保金；安排残疾人就业比例在1%以下的，按规定应缴费额的90%缴纳残保金。</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《关于印发〈天津市落实《关于完善残疾人就业保障金制度更好促进残疾人就业的总体方案》具体措施〉的通知》（津财社〔2020〕41号）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8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残疾人就业保障金征收管理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2020年1月1日至2022年12月31日，在职职工人数在30人（含）以下的企业，暂免征收残保金。如果国家有新的调整，按照国家调整后的新政策执行。</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《关于印发〈天津市落实《关于完善残疾人就业保障金制度更好促进残疾人就业的总体方案》具体措施〉的通知》（津财社〔2020〕41号）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残疾人就业保障金征收管理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从2021年起，用人单位缴纳的上年度残保金征收标准上限按照我市社会平均工资的2倍执行。</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《关于印发〈天津市落实《关于完善残疾人就业保障金制度更好促进残疾人就业的总体方案》具体措施〉的通知》（津财社〔2020〕41号）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75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教育费附加征收管理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入产教融合型企业建设培育范围的试点企业申报教育费附加、地方教育附加时，2019年1月1日起形成的可抵免投资额，可按照《通知》的规定办理抵免，相关资料由企业留存备查。（《通知》即：《财政部关于调整部分政府性基金有关政策的通知》（财税〔2019〕46号）</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《关于调整部分政府性基金有关征管事项的公告》（国家税务总局公告2019年第24号）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1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教育费附加征收管理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42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0</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教育费附加征收管理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46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地方教育附加征收管理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缴费人享受地方教育附加和残疾人就业保障金优惠实行“自行判别、申报享受、有关资料留存备查”办理方式，申报时无须再向税务机关提供有关资料。缴费人根据具体政策规定自行判断是否符合优惠条件，符合条件的，缴费人申报享受减免优惠，并将有关资料留存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《关于地方教育附加和残疾人就业保障金优惠事项资料留存备查的公告》（国家税务总局天津市税务局公告2019年第14号）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2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地方教育附加征收管理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纳入产教融合型企业建设培育范围的试点企业申报教育费附加、地方教育附加时，2019年1月1日起形成的可抵免投资额，可按照《通知》的规定办理抵免，相关资料由企业留存备查。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《关于调整部分政府性基金有关征管事项的公告》（国家税务总局公告2019年第24号）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74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地方教育附加征收管理</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8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国家重大水利工程建设基金</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自2019年7月1日起，将国家重大水利工程建设基金征收标准降低50%。</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《关于转发&lt;财政部关于调整部分政府性基金有关政策的通知&gt;的通知》（津财综〔2019〕48号）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24456015</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32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城镇土地使用税优惠事项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24456229</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城镇土地使用税、房产税困难减免除外</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18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城镇土地使用税优惠事项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24456229</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房产税优惠事项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24456229</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城镇土地使用税、房产税困难减免除外</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房产税优惠事项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24456229</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0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印花税优惠事项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24457609</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城镇土地使用税、房产税困难减免除外</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56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0</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印花税优惠事项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24457609</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68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1</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城市维护建设税优惠事项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24456726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城镇土地使用税、房产税困难减免除外</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68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2</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城市维护建设税优惠事项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24456726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9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车辆购置税免、减税</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2021年1月1日至2022年12月31日，对购置的新能源汽车免征车辆购置税。</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《关于新能源汽车免征车辆购置税有关政策的公告》（财政部公告2020年第21号）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24465644</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4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车辆购置税免、减税</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2018年7月1日至2023年12月31日，对购置的挂车减半征收车辆购置税。</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《关于挂车减征车辆购置税的公告》（财政部2018年第69号）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《财政部 税务总局关于延长部分税收优惠政策执行期限的公告》（财政部 税务总局公告2021年第6号）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24465644</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减征车辆购置税的挂车是指由汽车牵引才能正常使用且用于载运货物的无动力车辆</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18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车辆购置税免、减税</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设有固定装置的非运输专用作业车辆免征车辆购置税。</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《关于设有固定装置的非运输专用作业车辆免征车辆购置税有关政策的公告》（财政部2020年第35号）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《关于设有固定装置的非运输专用作业车辆免征车辆购置税有关管理事项的公告》（国家税务总局 工业和信息化部公告2020年第20号）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24465644</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77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6</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资源税优惠事项采取“自行判别、申报享受、相关资料留存备查”的办理方式。纳税人应当根据相关税收规定自行判断是否符合优惠事项规定的条件，符合条件的可以自行计算减免税额，并通过填报资源税纳税申报表享受税收优惠。同时，按照规定归集和留存相关资料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《纳税服务规范》</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24457636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纳税人开采或者生产应税产品过程中，因意外事故或者自然灾害等原因遭受重大损失享受减免税情形除外</w:t>
            </w: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44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24457636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3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环境保护税优惠事项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环境保护税优惠事项采取“自行判别、申报享受、相关资料留存备查”的办理方式。纳税人应当根据相关税收规定自行判断是否符合优惠事项规定的条件，符合条件的可以自行计算减免税额，并通过填报环境保护税纳税申报表享受税收优惠。同时，按照规定归集和留存相关资料备查。</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《纳税服务规范》</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24456801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035"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耕地占用税优惠事项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24457636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70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0</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耕地占用税优惠事项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2022年1月1日至2024年12月31日，对我市增值税小规模纳税人、小型微利企业和个体工商户，减按50%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金三系统和电子税务局自动判别纳税人（缴费人）减征政策适用主体类型，完成减半征收，无需纳税人（缴费人）申报减税证明材料即可享受。</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 税务总局关于进一步实施小微企业“六税两费”减免政策的公告》（2022年第10号）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《天津市财政局 国家税务总局天津市税务局关于进一步实施“六税两费”减免政策的通知》（津财规〔2022〕5号）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24457636</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18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车船税优惠事项</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享受“六税一费”优惠实行“自行判别、申报享受、有关资料留存备查”办理方式，申报时无须再向税务机关提供有关资料。纳税人根据具体政策规定自行判断是否符合优惠条件，符合条件的，纳税人申报享受税收优惠，并将有关资料留存备查。纳税人对“六税一费”优惠事项留存备查资料的真实性、合法性承担法律责任。</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《关于城镇土地使用税等“六税一费”优惠事项资料留存备查的公告》（国家税务总局公告2019年第21号）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24456801</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38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天津市税务局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制造业中小微企业延缓缴纳</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1.《国家税务总局 财政部关于制造业中小微企业延缓缴纳2021年第四季度部分税费有关事项的公告》（国家税务总局 财政部公告2021年第30号）规定的制造业中小微企业延缓缴纳2021年第四季度部分税费政策，缓缴期限继续延长6个月。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符合规定条件的制造业中小微企业，在依法办理纳税申报后，制造业中型企业可以延缓缴纳本公告规定的各项税费金额的50%，制造业小微企业可以延缓缴纳本公告规定的全部税费，延缓期限为6个月。延缓期限届满，纳税人应依法缴纳相应月份或者季度的税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延缓缴纳的税费包括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《国家税务总局 财政部关于制造业中小微企业延缓缴纳2021年第四季度部分税费有关事项的公告》（国家税务总局 财政部公告2021年第30号）</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《国家税务总局 财政部关于延续实施制造业中小微企业延缓缴纳部分税费有关事项的公告》（国家税务总局 财政部公告2022年第2号）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各区税务局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24466152</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40"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3</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用地预审与选址意见书</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对于简易低风险项目，局部管线接驳服务无需办理工程规划事项。</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《关于印发天津市工程建设项目“清单制+告知承诺制”审批改革实施方案的通知》（津住建政务〔2020〕16号）</w:t>
            </w:r>
          </w:p>
        </w:tc>
        <w:tc>
          <w:tcPr>
            <w:tcW w:w="81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各级规划资源部门</w:t>
            </w:r>
          </w:p>
        </w:tc>
        <w:tc>
          <w:tcPr>
            <w:tcW w:w="656"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23145288</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23295337</w:t>
            </w:r>
          </w:p>
        </w:tc>
        <w:tc>
          <w:tcPr>
            <w:tcW w:w="99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45"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建设工程规划许可证</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65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9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765"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用地预审与选址意见书</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对于原线路径不变的电力线路重建、原线改造或增容、原杆塔挂线、原线路杆塔改造、原线下保护区内立杆塔、既有电力设施（电力排管、沟槽、隧道、综合管廊等）展放线缆等情况，不再办理规划审批手续。</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《关于印发&lt;持续优化电力工程建设项目政务服务工作方案&gt;的通知》（津政服〔2020〕15号 ）</w:t>
            </w:r>
          </w:p>
        </w:tc>
        <w:tc>
          <w:tcPr>
            <w:tcW w:w="81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各级规划资源部门</w:t>
            </w:r>
          </w:p>
        </w:tc>
        <w:tc>
          <w:tcPr>
            <w:tcW w:w="656"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23145288</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23295337</w:t>
            </w:r>
          </w:p>
        </w:tc>
        <w:tc>
          <w:tcPr>
            <w:tcW w:w="99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建设工程规划许可证</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65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9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40"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5</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用地预审与选址意见书</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对路径长度不大于200米的35千伏及以下电力线路工程，不再办理规划审批手续。</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《关于印发&lt;持续优化电力工程建设项目政务服务工作方案&gt;的通知》（津政服〔2020〕15号 ）</w:t>
            </w:r>
          </w:p>
        </w:tc>
        <w:tc>
          <w:tcPr>
            <w:tcW w:w="81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各级规划资源部门</w:t>
            </w:r>
          </w:p>
        </w:tc>
        <w:tc>
          <w:tcPr>
            <w:tcW w:w="656"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23145288</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23295337</w:t>
            </w:r>
          </w:p>
        </w:tc>
        <w:tc>
          <w:tcPr>
            <w:tcW w:w="99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05"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建设工程规划许可证</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65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9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2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6</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建设工程规划许可证</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原挖原换的市政管网项目，可不办理建设工程规划许可证。</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《天津市人民政府关于印发天津市工程建设项目审批制度改革试点实施方案的通知》（津政发〔2018〕22号）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各级规划资源部门</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23295337</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40"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用地预审与选址意见书</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160千瓦（kW) 及以下低压工商业等所有外部电源工程，不再办理建设工程规划许可事项。</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《天津市人民政府关于印发天津市工程建设项目审批制度改革试点实施方案的通知》（津政发〔2018〕22号）</w:t>
            </w:r>
          </w:p>
        </w:tc>
        <w:tc>
          <w:tcPr>
            <w:tcW w:w="81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各级规划资源部门</w:t>
            </w:r>
          </w:p>
        </w:tc>
        <w:tc>
          <w:tcPr>
            <w:tcW w:w="656"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23145288</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23295337</w:t>
            </w:r>
          </w:p>
        </w:tc>
        <w:tc>
          <w:tcPr>
            <w:tcW w:w="99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05"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建设工程规划许可证</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65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9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735" w:hRule="atLeast"/>
        </w:trPr>
        <w:tc>
          <w:tcPr>
            <w:tcW w:w="496" w:type="dxa"/>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用地预审与选址意见书</w:t>
            </w:r>
          </w:p>
        </w:tc>
        <w:tc>
          <w:tcPr>
            <w:tcW w:w="2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对于我市简易低风险项目或长度在200米以下的供水排水接入配套工程不再办理工程规划相关行政许可事项。</w:t>
            </w:r>
          </w:p>
        </w:tc>
        <w:tc>
          <w:tcPr>
            <w:tcW w:w="1071"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《关于印发〈进一步优化供排水接入配套工程中政务服务实施方案〉的通知》（津水政服〔2021〕1号）</w:t>
            </w:r>
          </w:p>
        </w:tc>
        <w:tc>
          <w:tcPr>
            <w:tcW w:w="818"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各级规划资源部门</w:t>
            </w:r>
          </w:p>
        </w:tc>
        <w:tc>
          <w:tcPr>
            <w:tcW w:w="656"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23145288</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232953</w:t>
            </w:r>
            <w:bookmarkStart w:id="0" w:name="_GoBack"/>
            <w:bookmarkEnd w:id="0"/>
            <w:r>
              <w:rPr>
                <w:rFonts w:hint="eastAsia" w:ascii="仿宋_GB2312" w:hAnsi="仿宋_GB2312" w:eastAsia="仿宋_GB2312" w:cs="仿宋_GB2312"/>
                <w:sz w:val="24"/>
                <w:szCs w:val="24"/>
              </w:rPr>
              <w:t>37</w:t>
            </w:r>
          </w:p>
        </w:tc>
        <w:tc>
          <w:tcPr>
            <w:tcW w:w="99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735" w:hRule="atLeast"/>
        </w:trPr>
        <w:tc>
          <w:tcPr>
            <w:tcW w:w="496" w:type="dxa"/>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建设工程规划许可证</w:t>
            </w:r>
          </w:p>
        </w:tc>
        <w:tc>
          <w:tcPr>
            <w:tcW w:w="2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1071"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818"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65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9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市规划资源局静海分局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60" w:hRule="atLeast"/>
        </w:trPr>
        <w:tc>
          <w:tcPr>
            <w:tcW w:w="49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393"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市水务局</w:t>
            </w:r>
          </w:p>
        </w:tc>
        <w:tc>
          <w:tcPr>
            <w:tcW w:w="103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生产建设项目水土保持方案许可</w:t>
            </w:r>
          </w:p>
        </w:tc>
        <w:tc>
          <w:tcPr>
            <w:tcW w:w="20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征占地面积不足1公顷且挖填土石方总量不足1万立方米的项目，不再办理生产建设项目水土保持方案许可。</w:t>
            </w:r>
          </w:p>
        </w:tc>
        <w:tc>
          <w:tcPr>
            <w:tcW w:w="1071"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《关于印发进一步深化“放管服”改革全面加强水土保持监管实施意见的通知》（津水政服〔2019〕1号）</w:t>
            </w:r>
          </w:p>
        </w:tc>
        <w:tc>
          <w:tcPr>
            <w:tcW w:w="81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市水务局、各区审批局</w:t>
            </w:r>
          </w:p>
        </w:tc>
        <w:tc>
          <w:tcPr>
            <w:tcW w:w="65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23333924</w:t>
            </w:r>
          </w:p>
        </w:tc>
        <w:tc>
          <w:tcPr>
            <w:tcW w:w="99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974"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区政务服务办</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600" w:beforeAutospacing="0" w:after="0" w:afterAutospacing="0" w:line="585"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92FBE"/>
    <w:rsid w:val="0C6254B8"/>
    <w:rsid w:val="0D4E3FEC"/>
    <w:rsid w:val="0E3F1B8D"/>
    <w:rsid w:val="117475F8"/>
    <w:rsid w:val="16C91889"/>
    <w:rsid w:val="16CF10CD"/>
    <w:rsid w:val="1C562E45"/>
    <w:rsid w:val="1E0803E8"/>
    <w:rsid w:val="201259CD"/>
    <w:rsid w:val="24E3244F"/>
    <w:rsid w:val="30773586"/>
    <w:rsid w:val="4A8F4926"/>
    <w:rsid w:val="50314750"/>
    <w:rsid w:val="57892FBE"/>
    <w:rsid w:val="595D607B"/>
    <w:rsid w:val="5B2857DD"/>
    <w:rsid w:val="774E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2022-10-26T05:25:00Z</dcterms:created>
  <dc:creator>ZWFW</dc:creator>
  <cp:lastModifiedBy>ZWFW</cp:lastModifiedBy>
  <dcterms:modified xsi:type="dcterms:W3CDTF">2023-02-08T02:17:39Z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