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3F4" w:rsidRDefault="007473F4" w:rsidP="007473F4">
      <w:pPr>
        <w:overflowPunct w:val="0"/>
        <w:spacing w:line="560" w:lineRule="exact"/>
        <w:rPr>
          <w:rFonts w:ascii="黑体" w:eastAsia="黑体" w:hAnsi="黑体"/>
          <w:sz w:val="32"/>
          <w:szCs w:val="32"/>
        </w:rPr>
      </w:pPr>
      <w:r>
        <w:rPr>
          <w:rFonts w:ascii="黑体" w:eastAsia="黑体" w:hAnsi="黑体" w:hint="eastAsia"/>
          <w:sz w:val="32"/>
          <w:szCs w:val="32"/>
        </w:rPr>
        <w:t>附件1</w:t>
      </w:r>
    </w:p>
    <w:p w:rsidR="007473F4" w:rsidRDefault="007473F4" w:rsidP="007473F4">
      <w:pPr>
        <w:overflowPunct w:val="0"/>
        <w:spacing w:line="560" w:lineRule="exact"/>
        <w:jc w:val="center"/>
        <w:rPr>
          <w:rFonts w:eastAsia="仿宋_GB2312" w:hint="eastAsia"/>
          <w:sz w:val="44"/>
          <w:szCs w:val="44"/>
        </w:rPr>
      </w:pPr>
    </w:p>
    <w:p w:rsidR="007473F4" w:rsidRDefault="007473F4" w:rsidP="007473F4">
      <w:pPr>
        <w:overflowPunct w:val="0"/>
        <w:spacing w:line="560" w:lineRule="exact"/>
        <w:jc w:val="center"/>
        <w:rPr>
          <w:rFonts w:eastAsia="方正小标宋简体"/>
          <w:sz w:val="44"/>
          <w:szCs w:val="44"/>
        </w:rPr>
      </w:pPr>
      <w:r>
        <w:rPr>
          <w:rFonts w:eastAsia="方正小标宋简体" w:hint="eastAsia"/>
          <w:sz w:val="44"/>
          <w:szCs w:val="44"/>
        </w:rPr>
        <w:t>静海区加强设施农用地监管工作责任书</w:t>
      </w:r>
    </w:p>
    <w:p w:rsidR="007473F4" w:rsidRPr="007473F4" w:rsidRDefault="007473F4" w:rsidP="007473F4">
      <w:pPr>
        <w:overflowPunct w:val="0"/>
        <w:spacing w:line="580" w:lineRule="exact"/>
        <w:rPr>
          <w:rFonts w:eastAsia="仿宋_GB2312"/>
          <w:sz w:val="34"/>
          <w:szCs w:val="34"/>
        </w:rPr>
      </w:pPr>
    </w:p>
    <w:p w:rsidR="007473F4" w:rsidRPr="007473F4" w:rsidRDefault="007473F4" w:rsidP="007473F4">
      <w:pPr>
        <w:overflowPunct w:val="0"/>
        <w:spacing w:line="580" w:lineRule="exact"/>
        <w:ind w:firstLineChars="200" w:firstLine="640"/>
        <w:rPr>
          <w:rFonts w:eastAsia="仿宋_GB2312"/>
          <w:sz w:val="32"/>
          <w:szCs w:val="32"/>
        </w:rPr>
      </w:pPr>
      <w:r w:rsidRPr="007473F4">
        <w:rPr>
          <w:rFonts w:eastAsia="仿宋_GB2312" w:hint="eastAsia"/>
          <w:sz w:val="32"/>
          <w:szCs w:val="32"/>
        </w:rPr>
        <w:t>为进一步加强我镇设施农用地监管，建立健全设施农用地长效监管机制，根据市政府办公厅下发的《关于以治理</w:t>
      </w:r>
      <w:r w:rsidRPr="007473F4">
        <w:rPr>
          <w:rFonts w:eastAsia="仿宋_GB2312"/>
          <w:sz w:val="32"/>
          <w:szCs w:val="32"/>
        </w:rPr>
        <w:t>“</w:t>
      </w:r>
      <w:r w:rsidRPr="007473F4">
        <w:rPr>
          <w:rFonts w:eastAsia="仿宋_GB2312" w:hint="eastAsia"/>
          <w:sz w:val="32"/>
          <w:szCs w:val="32"/>
        </w:rPr>
        <w:t>大棚房</w:t>
      </w:r>
      <w:r w:rsidRPr="007473F4">
        <w:rPr>
          <w:rFonts w:eastAsia="仿宋_GB2312"/>
          <w:sz w:val="32"/>
          <w:szCs w:val="32"/>
        </w:rPr>
        <w:t>”</w:t>
      </w:r>
      <w:r w:rsidRPr="007473F4">
        <w:rPr>
          <w:rFonts w:eastAsia="仿宋_GB2312" w:hint="eastAsia"/>
          <w:sz w:val="32"/>
          <w:szCs w:val="32"/>
        </w:rPr>
        <w:t>为重点进一步加强农业设施及用地监管工作的通知》文件精神，现就我镇加强和规范设施农用地管理、推进农业设施健康发展，向区政府签订责任书如下：</w:t>
      </w:r>
    </w:p>
    <w:p w:rsidR="007473F4" w:rsidRPr="007473F4" w:rsidRDefault="007473F4" w:rsidP="00F51BBD">
      <w:pPr>
        <w:overflowPunct w:val="0"/>
        <w:spacing w:line="580" w:lineRule="exact"/>
        <w:ind w:firstLineChars="200" w:firstLine="643"/>
        <w:rPr>
          <w:rFonts w:eastAsia="仿宋_GB2312"/>
          <w:sz w:val="32"/>
          <w:szCs w:val="32"/>
        </w:rPr>
      </w:pPr>
      <w:r w:rsidRPr="00F51BBD">
        <w:rPr>
          <w:rFonts w:ascii="楷体_GB2312" w:eastAsia="楷体_GB2312" w:hint="eastAsia"/>
          <w:b/>
          <w:sz w:val="32"/>
          <w:szCs w:val="32"/>
        </w:rPr>
        <w:t>1.明确工作职责。</w:t>
      </w:r>
      <w:r w:rsidRPr="007473F4">
        <w:rPr>
          <w:rFonts w:eastAsia="仿宋_GB2312" w:hint="eastAsia"/>
          <w:sz w:val="32"/>
          <w:szCs w:val="32"/>
        </w:rPr>
        <w:t>按照属地管理原则，我镇作为设施农用地监管的责任主体，加大检查力度，及时制止和纠正涉农违法违规用地行为，并与辖区所有村委会签订农业设施监管责任书，组织村委会与本村农业设施经营者签订不改变农业用途的承诺书。各建设单位负责人作为建设和经营主体，负责管好用好设施农用地。做到</w:t>
      </w:r>
      <w:r w:rsidRPr="007473F4">
        <w:rPr>
          <w:rFonts w:eastAsia="仿宋_GB2312" w:hint="eastAsia"/>
          <w:color w:val="000000"/>
          <w:kern w:val="0"/>
          <w:sz w:val="32"/>
          <w:szCs w:val="32"/>
        </w:rPr>
        <w:t>不改变土地用途，不擅自或变相将设施农用地用于其他非农建设；不超过用地标准，不扩大设施用地规模或通过分次申报用地变相扩大设施用地规模；不改变直接从事或服务于农业生产的设施性质，不将农用设施用于其他非农经营。</w:t>
      </w:r>
    </w:p>
    <w:p w:rsidR="007473F4" w:rsidRPr="007473F4" w:rsidRDefault="007473F4" w:rsidP="000D4E6B">
      <w:pPr>
        <w:overflowPunct w:val="0"/>
        <w:spacing w:line="580" w:lineRule="exact"/>
        <w:ind w:firstLineChars="200" w:firstLine="643"/>
        <w:rPr>
          <w:rFonts w:eastAsia="仿宋_GB2312"/>
          <w:sz w:val="32"/>
          <w:szCs w:val="32"/>
        </w:rPr>
      </w:pPr>
      <w:r w:rsidRPr="000D4E6B">
        <w:rPr>
          <w:rFonts w:ascii="楷体_GB2312" w:eastAsia="楷体_GB2312"/>
          <w:b/>
          <w:sz w:val="32"/>
          <w:szCs w:val="32"/>
        </w:rPr>
        <w:t>2.</w:t>
      </w:r>
      <w:r w:rsidRPr="000D4E6B">
        <w:rPr>
          <w:rFonts w:ascii="楷体_GB2312" w:eastAsia="楷体_GB2312" w:hint="eastAsia"/>
          <w:b/>
          <w:sz w:val="32"/>
          <w:szCs w:val="32"/>
        </w:rPr>
        <w:t>全面建立档案管理制度。</w:t>
      </w:r>
      <w:r w:rsidRPr="007473F4">
        <w:rPr>
          <w:rFonts w:eastAsia="仿宋_GB2312" w:hint="eastAsia"/>
          <w:sz w:val="32"/>
          <w:szCs w:val="32"/>
        </w:rPr>
        <w:t>按照</w:t>
      </w:r>
      <w:r w:rsidRPr="007473F4">
        <w:rPr>
          <w:rFonts w:eastAsia="仿宋_GB2312"/>
          <w:sz w:val="32"/>
          <w:szCs w:val="32"/>
        </w:rPr>
        <w:t>“</w:t>
      </w:r>
      <w:r w:rsidRPr="007473F4">
        <w:rPr>
          <w:rFonts w:eastAsia="仿宋_GB2312" w:hint="eastAsia"/>
          <w:sz w:val="32"/>
          <w:szCs w:val="32"/>
        </w:rPr>
        <w:t>一镇一村一册、一棚一户一档</w:t>
      </w:r>
      <w:r w:rsidRPr="007473F4">
        <w:rPr>
          <w:rFonts w:eastAsia="仿宋_GB2312"/>
          <w:sz w:val="32"/>
          <w:szCs w:val="32"/>
        </w:rPr>
        <w:t>”</w:t>
      </w:r>
      <w:r w:rsidRPr="007473F4">
        <w:rPr>
          <w:rFonts w:eastAsia="仿宋_GB2312" w:hint="eastAsia"/>
          <w:sz w:val="32"/>
          <w:szCs w:val="32"/>
        </w:rPr>
        <w:t>的工作要求，组织专人全面摸清设施农用地底数，建立设施农用地管理台账，建立监管平台，并施行动态管理，每月动态更新一次情况。</w:t>
      </w:r>
    </w:p>
    <w:p w:rsidR="007473F4" w:rsidRPr="007473F4" w:rsidRDefault="007473F4" w:rsidP="000D4E6B">
      <w:pPr>
        <w:overflowPunct w:val="0"/>
        <w:spacing w:line="580" w:lineRule="exact"/>
        <w:ind w:firstLineChars="200" w:firstLine="643"/>
        <w:rPr>
          <w:rFonts w:eastAsia="仿宋_GB2312"/>
          <w:sz w:val="32"/>
          <w:szCs w:val="32"/>
        </w:rPr>
      </w:pPr>
      <w:r w:rsidRPr="000D4E6B">
        <w:rPr>
          <w:rFonts w:ascii="楷体_GB2312" w:eastAsia="楷体_GB2312"/>
          <w:b/>
          <w:sz w:val="32"/>
          <w:szCs w:val="32"/>
        </w:rPr>
        <w:t>3.</w:t>
      </w:r>
      <w:r w:rsidRPr="000D4E6B">
        <w:rPr>
          <w:rFonts w:ascii="楷体_GB2312" w:eastAsia="楷体_GB2312" w:hint="eastAsia"/>
          <w:b/>
          <w:sz w:val="32"/>
          <w:szCs w:val="32"/>
        </w:rPr>
        <w:t>加强日常巡查。</w:t>
      </w:r>
      <w:r w:rsidRPr="007473F4">
        <w:rPr>
          <w:rFonts w:eastAsia="仿宋_GB2312" w:hint="eastAsia"/>
          <w:sz w:val="32"/>
          <w:szCs w:val="32"/>
        </w:rPr>
        <w:t>加强日常巡查力度，坚决遏制新增涉农</w:t>
      </w:r>
      <w:r w:rsidRPr="007473F4">
        <w:rPr>
          <w:rFonts w:eastAsia="仿宋_GB2312" w:hint="eastAsia"/>
          <w:sz w:val="32"/>
          <w:szCs w:val="32"/>
        </w:rPr>
        <w:lastRenderedPageBreak/>
        <w:t>违法违规用地行为。对于确实需要附属设施和配套设施的农业经营主体必须严格履行申报审批程序，严禁私搭乱建。</w:t>
      </w:r>
    </w:p>
    <w:p w:rsidR="007473F4" w:rsidRPr="007473F4" w:rsidRDefault="007473F4" w:rsidP="000D4E6B">
      <w:pPr>
        <w:overflowPunct w:val="0"/>
        <w:spacing w:line="580" w:lineRule="exact"/>
        <w:ind w:firstLineChars="200" w:firstLine="643"/>
        <w:rPr>
          <w:rFonts w:eastAsia="仿宋_GB2312"/>
          <w:sz w:val="32"/>
          <w:szCs w:val="32"/>
        </w:rPr>
      </w:pPr>
      <w:r w:rsidRPr="000D4E6B">
        <w:rPr>
          <w:rFonts w:ascii="楷体_GB2312" w:eastAsia="楷体_GB2312"/>
          <w:b/>
          <w:sz w:val="32"/>
          <w:szCs w:val="32"/>
        </w:rPr>
        <w:t>4.</w:t>
      </w:r>
      <w:r w:rsidRPr="000D4E6B">
        <w:rPr>
          <w:rFonts w:ascii="楷体_GB2312" w:eastAsia="楷体_GB2312" w:hint="eastAsia"/>
          <w:b/>
          <w:sz w:val="32"/>
          <w:szCs w:val="32"/>
        </w:rPr>
        <w:t>严肃违规农业设施查处。</w:t>
      </w:r>
      <w:r w:rsidRPr="007473F4">
        <w:rPr>
          <w:rFonts w:eastAsia="仿宋_GB2312" w:hint="eastAsia"/>
          <w:sz w:val="32"/>
          <w:szCs w:val="32"/>
        </w:rPr>
        <w:t>按照</w:t>
      </w:r>
      <w:r w:rsidRPr="007473F4">
        <w:rPr>
          <w:rFonts w:eastAsia="仿宋_GB2312"/>
          <w:sz w:val="32"/>
          <w:szCs w:val="32"/>
        </w:rPr>
        <w:t>“</w:t>
      </w:r>
      <w:r w:rsidRPr="007473F4">
        <w:rPr>
          <w:rFonts w:eastAsia="仿宋_GB2312" w:hint="eastAsia"/>
          <w:sz w:val="32"/>
          <w:szCs w:val="32"/>
        </w:rPr>
        <w:t>三个不得、三个禁止</w:t>
      </w:r>
      <w:r w:rsidRPr="007473F4">
        <w:rPr>
          <w:rFonts w:eastAsia="仿宋_GB2312"/>
          <w:sz w:val="32"/>
          <w:szCs w:val="32"/>
        </w:rPr>
        <w:t>”</w:t>
      </w:r>
      <w:r w:rsidRPr="007473F4">
        <w:rPr>
          <w:rFonts w:eastAsia="仿宋_GB2312" w:hint="eastAsia"/>
          <w:sz w:val="32"/>
          <w:szCs w:val="32"/>
        </w:rPr>
        <w:t>的工作要求，做到</w:t>
      </w:r>
      <w:r w:rsidRPr="007473F4">
        <w:rPr>
          <w:rFonts w:eastAsia="仿宋_GB2312"/>
          <w:sz w:val="32"/>
          <w:szCs w:val="32"/>
        </w:rPr>
        <w:t>“</w:t>
      </w:r>
      <w:r w:rsidRPr="007473F4">
        <w:rPr>
          <w:rFonts w:eastAsia="仿宋_GB2312" w:hint="eastAsia"/>
          <w:sz w:val="32"/>
          <w:szCs w:val="32"/>
        </w:rPr>
        <w:t>大棚房</w:t>
      </w:r>
      <w:r w:rsidRPr="007473F4">
        <w:rPr>
          <w:rFonts w:eastAsia="仿宋_GB2312"/>
          <w:sz w:val="32"/>
          <w:szCs w:val="32"/>
        </w:rPr>
        <w:t>”</w:t>
      </w:r>
      <w:r w:rsidRPr="007473F4">
        <w:rPr>
          <w:rFonts w:eastAsia="仿宋_GB2312" w:hint="eastAsia"/>
          <w:sz w:val="32"/>
          <w:szCs w:val="32"/>
        </w:rPr>
        <w:t>及涉农违章建筑立即拆除、温室大棚配套生产配房必须小于</w:t>
      </w:r>
      <w:r w:rsidRPr="007473F4">
        <w:rPr>
          <w:rFonts w:eastAsia="仿宋_GB2312"/>
          <w:sz w:val="32"/>
          <w:szCs w:val="32"/>
        </w:rPr>
        <w:t>15</w:t>
      </w:r>
      <w:r w:rsidRPr="007473F4">
        <w:rPr>
          <w:rFonts w:eastAsia="仿宋_GB2312" w:hint="eastAsia"/>
          <w:sz w:val="32"/>
          <w:szCs w:val="32"/>
        </w:rPr>
        <w:t>平方米。</w:t>
      </w:r>
    </w:p>
    <w:p w:rsidR="007473F4" w:rsidRPr="007473F4" w:rsidRDefault="007473F4" w:rsidP="000D4E6B">
      <w:pPr>
        <w:overflowPunct w:val="0"/>
        <w:spacing w:line="580" w:lineRule="exact"/>
        <w:ind w:firstLineChars="200" w:firstLine="643"/>
        <w:rPr>
          <w:rFonts w:eastAsia="楷体_GB2312"/>
          <w:sz w:val="32"/>
          <w:szCs w:val="32"/>
        </w:rPr>
      </w:pPr>
      <w:r w:rsidRPr="000D4E6B">
        <w:rPr>
          <w:rFonts w:ascii="楷体_GB2312" w:eastAsia="楷体_GB2312"/>
          <w:b/>
          <w:sz w:val="32"/>
          <w:szCs w:val="32"/>
        </w:rPr>
        <w:t>5.</w:t>
      </w:r>
      <w:r w:rsidRPr="000D4E6B">
        <w:rPr>
          <w:rFonts w:ascii="楷体_GB2312" w:eastAsia="楷体_GB2312" w:hint="eastAsia"/>
          <w:b/>
          <w:sz w:val="32"/>
          <w:szCs w:val="32"/>
        </w:rPr>
        <w:t>建立零报告制度。</w:t>
      </w:r>
      <w:r w:rsidRPr="007473F4">
        <w:rPr>
          <w:rFonts w:eastAsia="仿宋_GB2312" w:hint="eastAsia"/>
          <w:sz w:val="32"/>
          <w:szCs w:val="32"/>
        </w:rPr>
        <w:t>定期向区政府报送农业设施排查整治情况，无违法违规情况实行</w:t>
      </w:r>
      <w:r w:rsidRPr="007473F4">
        <w:rPr>
          <w:rFonts w:eastAsia="仿宋_GB2312"/>
          <w:sz w:val="32"/>
          <w:szCs w:val="32"/>
        </w:rPr>
        <w:t>“</w:t>
      </w:r>
      <w:r w:rsidRPr="007473F4">
        <w:rPr>
          <w:rFonts w:eastAsia="仿宋_GB2312" w:hint="eastAsia"/>
          <w:sz w:val="32"/>
          <w:szCs w:val="32"/>
        </w:rPr>
        <w:t>零报告</w:t>
      </w:r>
      <w:r w:rsidRPr="007473F4">
        <w:rPr>
          <w:rFonts w:eastAsia="仿宋_GB2312"/>
          <w:sz w:val="32"/>
          <w:szCs w:val="32"/>
        </w:rPr>
        <w:t>”</w:t>
      </w:r>
      <w:r w:rsidRPr="007473F4">
        <w:rPr>
          <w:rFonts w:eastAsia="仿宋_GB2312" w:hint="eastAsia"/>
          <w:sz w:val="32"/>
          <w:szCs w:val="32"/>
        </w:rPr>
        <w:t>，对农业设施监管工作中出现的各类问题，要及时上报区直相关部门。</w:t>
      </w:r>
    </w:p>
    <w:p w:rsidR="007473F4" w:rsidRPr="007473F4" w:rsidRDefault="007473F4" w:rsidP="000D4E6B">
      <w:pPr>
        <w:overflowPunct w:val="0"/>
        <w:spacing w:line="580" w:lineRule="exact"/>
        <w:ind w:firstLineChars="200" w:firstLine="643"/>
        <w:rPr>
          <w:rFonts w:eastAsia="仿宋_GB2312"/>
          <w:sz w:val="32"/>
          <w:szCs w:val="32"/>
        </w:rPr>
      </w:pPr>
      <w:r w:rsidRPr="000D4E6B">
        <w:rPr>
          <w:rFonts w:ascii="楷体_GB2312" w:eastAsia="楷体_GB2312"/>
          <w:b/>
          <w:sz w:val="32"/>
          <w:szCs w:val="32"/>
        </w:rPr>
        <w:t>6.</w:t>
      </w:r>
      <w:r w:rsidRPr="000D4E6B">
        <w:rPr>
          <w:rFonts w:ascii="楷体_GB2312" w:eastAsia="楷体_GB2312" w:hint="eastAsia"/>
          <w:b/>
          <w:sz w:val="32"/>
          <w:szCs w:val="32"/>
        </w:rPr>
        <w:t>强化舆论宣传。</w:t>
      </w:r>
      <w:r w:rsidRPr="007473F4">
        <w:rPr>
          <w:rFonts w:eastAsia="仿宋_GB2312" w:hint="eastAsia"/>
          <w:sz w:val="32"/>
          <w:szCs w:val="32"/>
        </w:rPr>
        <w:t>加强对设施农用地管理工作的宣传和舆论引导，提高农业经营主体依法依规用地意识，营造良好的社会氛围。在农业设施集中区域设立禁止违法违规建设销售</w:t>
      </w:r>
      <w:r w:rsidRPr="007473F4">
        <w:rPr>
          <w:rFonts w:eastAsia="仿宋_GB2312"/>
          <w:sz w:val="32"/>
          <w:szCs w:val="32"/>
        </w:rPr>
        <w:t>“</w:t>
      </w:r>
      <w:r w:rsidRPr="007473F4">
        <w:rPr>
          <w:rFonts w:eastAsia="仿宋_GB2312" w:hint="eastAsia"/>
          <w:sz w:val="32"/>
          <w:szCs w:val="32"/>
        </w:rPr>
        <w:t>大棚房</w:t>
      </w:r>
      <w:r w:rsidRPr="007473F4">
        <w:rPr>
          <w:rFonts w:eastAsia="仿宋_GB2312"/>
          <w:sz w:val="32"/>
          <w:szCs w:val="32"/>
        </w:rPr>
        <w:t>”</w:t>
      </w:r>
      <w:r w:rsidRPr="007473F4">
        <w:rPr>
          <w:rFonts w:eastAsia="仿宋_GB2312" w:hint="eastAsia"/>
          <w:sz w:val="32"/>
          <w:szCs w:val="32"/>
        </w:rPr>
        <w:t>、擅自改变农业用途的警示牌和宣传标语，发挥震慑作用。</w:t>
      </w:r>
    </w:p>
    <w:p w:rsidR="007473F4" w:rsidRPr="007473F4" w:rsidRDefault="007473F4" w:rsidP="007473F4">
      <w:pPr>
        <w:overflowPunct w:val="0"/>
        <w:spacing w:line="580" w:lineRule="exact"/>
        <w:rPr>
          <w:rFonts w:eastAsia="仿宋_GB2312"/>
          <w:sz w:val="32"/>
          <w:szCs w:val="32"/>
        </w:rPr>
      </w:pPr>
    </w:p>
    <w:p w:rsidR="007473F4" w:rsidRPr="007473F4" w:rsidRDefault="007473F4" w:rsidP="007473F4">
      <w:pPr>
        <w:overflowPunct w:val="0"/>
        <w:spacing w:line="580" w:lineRule="exact"/>
        <w:rPr>
          <w:rFonts w:eastAsia="仿宋_GB2312"/>
          <w:sz w:val="32"/>
          <w:szCs w:val="32"/>
        </w:rPr>
      </w:pPr>
    </w:p>
    <w:p w:rsidR="007473F4" w:rsidRDefault="007473F4" w:rsidP="007473F4">
      <w:pPr>
        <w:overflowPunct w:val="0"/>
        <w:spacing w:line="560" w:lineRule="exact"/>
        <w:rPr>
          <w:rFonts w:eastAsia="仿宋_GB2312"/>
          <w:sz w:val="32"/>
          <w:szCs w:val="32"/>
        </w:rPr>
      </w:pPr>
    </w:p>
    <w:p w:rsidR="007473F4" w:rsidRDefault="007473F4" w:rsidP="007473F4">
      <w:pPr>
        <w:overflowPunct w:val="0"/>
        <w:spacing w:line="560" w:lineRule="exact"/>
        <w:rPr>
          <w:rFonts w:eastAsia="仿宋_GB2312"/>
          <w:sz w:val="32"/>
          <w:szCs w:val="32"/>
        </w:rPr>
      </w:pPr>
      <w:r>
        <w:rPr>
          <w:rFonts w:eastAsia="仿宋_GB2312" w:hint="eastAsia"/>
          <w:sz w:val="32"/>
          <w:szCs w:val="32"/>
        </w:rPr>
        <w:t>乡（镇）人民政府</w:t>
      </w:r>
      <w:r>
        <w:rPr>
          <w:rFonts w:eastAsia="仿宋_GB2312"/>
          <w:sz w:val="32"/>
          <w:szCs w:val="32"/>
        </w:rPr>
        <w:t xml:space="preserve">              </w:t>
      </w:r>
      <w:r>
        <w:rPr>
          <w:rFonts w:eastAsia="仿宋_GB2312" w:hint="eastAsia"/>
          <w:sz w:val="32"/>
          <w:szCs w:val="32"/>
        </w:rPr>
        <w:t>天津市静海区人民政府</w:t>
      </w:r>
    </w:p>
    <w:p w:rsidR="007473F4" w:rsidRDefault="007473F4" w:rsidP="007473F4">
      <w:pPr>
        <w:overflowPunct w:val="0"/>
        <w:spacing w:line="560" w:lineRule="exact"/>
        <w:ind w:firstLineChars="200" w:firstLine="640"/>
        <w:rPr>
          <w:rFonts w:eastAsia="仿宋_GB2312"/>
          <w:sz w:val="32"/>
          <w:szCs w:val="32"/>
        </w:rPr>
      </w:pPr>
      <w:r>
        <w:rPr>
          <w:rFonts w:eastAsia="仿宋_GB2312" w:hint="eastAsia"/>
          <w:sz w:val="32"/>
          <w:szCs w:val="32"/>
        </w:rPr>
        <w:t>（公章）</w:t>
      </w:r>
      <w:r>
        <w:rPr>
          <w:rFonts w:eastAsia="仿宋_GB2312"/>
          <w:sz w:val="32"/>
          <w:szCs w:val="32"/>
        </w:rPr>
        <w:t xml:space="preserve">                       </w:t>
      </w:r>
      <w:r>
        <w:rPr>
          <w:rFonts w:eastAsia="仿宋_GB2312" w:hint="eastAsia"/>
          <w:sz w:val="32"/>
          <w:szCs w:val="32"/>
        </w:rPr>
        <w:t>（公章）</w:t>
      </w:r>
    </w:p>
    <w:p w:rsidR="007473F4" w:rsidRDefault="007473F4" w:rsidP="007473F4">
      <w:pPr>
        <w:overflowPunct w:val="0"/>
        <w:spacing w:line="560" w:lineRule="exact"/>
        <w:rPr>
          <w:rFonts w:eastAsia="仿宋_GB2312"/>
          <w:sz w:val="32"/>
          <w:szCs w:val="32"/>
        </w:rPr>
      </w:pPr>
      <w:r>
        <w:rPr>
          <w:rFonts w:eastAsia="仿宋_GB2312"/>
          <w:sz w:val="32"/>
          <w:szCs w:val="32"/>
        </w:rPr>
        <w:t xml:space="preserve">                            </w:t>
      </w:r>
    </w:p>
    <w:p w:rsidR="007473F4" w:rsidRDefault="007473F4" w:rsidP="007473F4">
      <w:pPr>
        <w:overflowPunct w:val="0"/>
        <w:spacing w:line="560" w:lineRule="exact"/>
        <w:ind w:firstLineChars="100" w:firstLine="320"/>
        <w:rPr>
          <w:rFonts w:eastAsia="仿宋_GB2312"/>
          <w:sz w:val="32"/>
          <w:szCs w:val="32"/>
        </w:rPr>
      </w:pPr>
      <w:r>
        <w:rPr>
          <w:rFonts w:eastAsia="仿宋_GB2312" w:hint="eastAsia"/>
          <w:sz w:val="32"/>
          <w:szCs w:val="32"/>
        </w:rPr>
        <w:t>签字：</w:t>
      </w:r>
      <w:r>
        <w:rPr>
          <w:rFonts w:eastAsia="仿宋_GB2312"/>
          <w:sz w:val="32"/>
          <w:szCs w:val="32"/>
        </w:rPr>
        <w:t xml:space="preserve">                          </w:t>
      </w:r>
      <w:r>
        <w:rPr>
          <w:rFonts w:eastAsia="仿宋_GB2312" w:hint="eastAsia"/>
          <w:sz w:val="32"/>
          <w:szCs w:val="32"/>
        </w:rPr>
        <w:t>签字：</w:t>
      </w:r>
      <w:r>
        <w:rPr>
          <w:rFonts w:eastAsia="仿宋_GB2312"/>
          <w:sz w:val="32"/>
          <w:szCs w:val="32"/>
        </w:rPr>
        <w:t xml:space="preserve">     </w:t>
      </w:r>
    </w:p>
    <w:p w:rsidR="007473F4" w:rsidRDefault="007473F4" w:rsidP="007473F4">
      <w:pPr>
        <w:overflowPunct w:val="0"/>
        <w:spacing w:line="560" w:lineRule="exact"/>
        <w:rPr>
          <w:rFonts w:eastAsia="仿宋_GB2312"/>
          <w:sz w:val="32"/>
          <w:szCs w:val="32"/>
        </w:rPr>
      </w:pPr>
      <w:r>
        <w:rPr>
          <w:rFonts w:eastAsia="仿宋_GB2312"/>
          <w:sz w:val="32"/>
          <w:szCs w:val="32"/>
        </w:rPr>
        <w:t xml:space="preserve"> 2018</w:t>
      </w:r>
      <w:r>
        <w:rPr>
          <w:rFonts w:eastAsia="仿宋_GB2312" w:hint="eastAsia"/>
          <w:sz w:val="32"/>
          <w:szCs w:val="32"/>
        </w:rPr>
        <w:t>年</w:t>
      </w:r>
      <w:r>
        <w:rPr>
          <w:rFonts w:eastAsia="仿宋_GB2312"/>
          <w:sz w:val="32"/>
          <w:szCs w:val="32"/>
        </w:rPr>
        <w:t xml:space="preserve">  </w:t>
      </w:r>
      <w:r>
        <w:rPr>
          <w:rFonts w:eastAsia="仿宋_GB2312" w:hint="eastAsia"/>
          <w:sz w:val="32"/>
          <w:szCs w:val="32"/>
        </w:rPr>
        <w:t>月</w:t>
      </w:r>
      <w:r>
        <w:rPr>
          <w:rFonts w:eastAsia="仿宋_GB2312"/>
          <w:sz w:val="32"/>
          <w:szCs w:val="32"/>
        </w:rPr>
        <w:t xml:space="preserve">  </w:t>
      </w:r>
      <w:r>
        <w:rPr>
          <w:rFonts w:eastAsia="仿宋_GB2312" w:hint="eastAsia"/>
          <w:sz w:val="32"/>
          <w:szCs w:val="32"/>
        </w:rPr>
        <w:t>日</w:t>
      </w:r>
      <w:r>
        <w:rPr>
          <w:rFonts w:eastAsia="仿宋_GB2312"/>
          <w:sz w:val="32"/>
          <w:szCs w:val="32"/>
        </w:rPr>
        <w:t xml:space="preserve">                  2018</w:t>
      </w:r>
      <w:r>
        <w:rPr>
          <w:rFonts w:eastAsia="仿宋_GB2312" w:hint="eastAsia"/>
          <w:sz w:val="32"/>
          <w:szCs w:val="32"/>
        </w:rPr>
        <w:t>年</w:t>
      </w:r>
      <w:r>
        <w:rPr>
          <w:rFonts w:eastAsia="仿宋_GB2312"/>
          <w:sz w:val="32"/>
          <w:szCs w:val="32"/>
        </w:rPr>
        <w:t xml:space="preserve">  </w:t>
      </w:r>
      <w:r>
        <w:rPr>
          <w:rFonts w:eastAsia="仿宋_GB2312" w:hint="eastAsia"/>
          <w:sz w:val="32"/>
          <w:szCs w:val="32"/>
        </w:rPr>
        <w:t>月</w:t>
      </w:r>
      <w:r>
        <w:rPr>
          <w:rFonts w:eastAsia="仿宋_GB2312"/>
          <w:sz w:val="32"/>
          <w:szCs w:val="32"/>
        </w:rPr>
        <w:t xml:space="preserve">  </w:t>
      </w:r>
      <w:r>
        <w:rPr>
          <w:rFonts w:eastAsia="仿宋_GB2312" w:hint="eastAsia"/>
          <w:sz w:val="32"/>
          <w:szCs w:val="32"/>
        </w:rPr>
        <w:t>日</w:t>
      </w:r>
    </w:p>
    <w:sectPr w:rsidR="007473F4" w:rsidSect="007473F4">
      <w:pgSz w:w="11906" w:h="16838" w:code="9"/>
      <w:pgMar w:top="1928" w:right="1588" w:bottom="1418" w:left="1588"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73F4"/>
    <w:rsid w:val="000D4E6B"/>
    <w:rsid w:val="004C0507"/>
    <w:rsid w:val="007473F4"/>
    <w:rsid w:val="0081126D"/>
    <w:rsid w:val="00B74E40"/>
    <w:rsid w:val="00C733B5"/>
    <w:rsid w:val="00D55A3D"/>
    <w:rsid w:val="00F51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3F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2018-07-21T11:11:00Z</dcterms:created>
  <dcterms:modified xsi:type="dcterms:W3CDTF">2018-07-21T11:14:00Z</dcterms:modified>
</cp:coreProperties>
</file>