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A5E342">
      <w:pPr>
        <w:widowControl/>
        <w:jc w:val="center"/>
        <w:rPr>
          <w:rFonts w:hint="eastAsia" w:asciiTheme="majorEastAsia" w:hAnsiTheme="majorEastAsia" w:eastAsiaTheme="majorEastAsia" w:cstheme="majorEastAsia"/>
          <w:color w:val="000000" w:themeColor="text1"/>
          <w:kern w:val="0"/>
          <w:sz w:val="43"/>
          <w:szCs w:val="43"/>
          <w:lang w:bidi="ar"/>
          <w14:textFill>
            <w14:solidFill>
              <w14:schemeClr w14:val="tx1"/>
            </w14:solidFill>
          </w14:textFill>
        </w:rPr>
      </w:pPr>
      <w:bookmarkStart w:id="0" w:name="_GoBack"/>
      <w:bookmarkEnd w:id="0"/>
      <w:r>
        <w:rPr>
          <w:rFonts w:hint="eastAsia" w:asciiTheme="majorEastAsia" w:hAnsiTheme="majorEastAsia" w:eastAsiaTheme="majorEastAsia" w:cstheme="majorEastAsia"/>
          <w:color w:val="000000" w:themeColor="text1"/>
          <w:kern w:val="0"/>
          <w:sz w:val="43"/>
          <w:szCs w:val="43"/>
          <w:lang w:bidi="ar"/>
          <w14:textFill>
            <w14:solidFill>
              <w14:schemeClr w14:val="tx1"/>
            </w14:solidFill>
          </w14:textFill>
        </w:rPr>
        <w:t>静海区民用建筑规划设计管理创新</w:t>
      </w:r>
    </w:p>
    <w:p w14:paraId="74354E80">
      <w:pPr>
        <w:widowControl/>
        <w:jc w:val="center"/>
        <w:rPr>
          <w:rFonts w:hint="eastAsia" w:asciiTheme="majorEastAsia" w:hAnsiTheme="majorEastAsia" w:eastAsiaTheme="majorEastAsia" w:cstheme="majorEastAsia"/>
          <w:color w:val="000000" w:themeColor="text1"/>
          <w14:textFill>
            <w14:solidFill>
              <w14:schemeClr w14:val="tx1"/>
            </w14:solidFill>
          </w14:textFill>
        </w:rPr>
      </w:pPr>
      <w:r>
        <w:rPr>
          <w:rFonts w:hint="eastAsia" w:asciiTheme="majorEastAsia" w:hAnsiTheme="majorEastAsia" w:eastAsiaTheme="majorEastAsia" w:cstheme="majorEastAsia"/>
          <w:color w:val="000000" w:themeColor="text1"/>
          <w:kern w:val="0"/>
          <w:sz w:val="43"/>
          <w:szCs w:val="43"/>
          <w:lang w:bidi="ar"/>
          <w14:textFill>
            <w14:solidFill>
              <w14:schemeClr w14:val="tx1"/>
            </w14:solidFill>
          </w14:textFill>
        </w:rPr>
        <w:t>指导意见（试行）</w:t>
      </w:r>
    </w:p>
    <w:p w14:paraId="3C116B87">
      <w:pPr>
        <w:widowControl/>
        <w:jc w:val="center"/>
        <w:rPr>
          <w:rFonts w:hint="eastAsia" w:asciiTheme="minorEastAsia" w:hAnsiTheme="minorEastAsia" w:eastAsiaTheme="minorEastAsia" w:cstheme="minorEastAsia"/>
          <w:color w:val="000000" w:themeColor="text1"/>
          <w:kern w:val="0"/>
          <w:sz w:val="31"/>
          <w:szCs w:val="31"/>
          <w:lang w:eastAsia="zh-CN" w:bidi="ar"/>
          <w14:textFill>
            <w14:solidFill>
              <w14:schemeClr w14:val="tx1"/>
            </w14:solidFill>
          </w14:textFill>
        </w:rPr>
      </w:pPr>
      <w:r>
        <w:rPr>
          <w:rFonts w:hint="eastAsia" w:asciiTheme="minorEastAsia" w:hAnsiTheme="minorEastAsia" w:cstheme="minorEastAsia"/>
          <w:color w:val="000000" w:themeColor="text1"/>
          <w:kern w:val="0"/>
          <w:sz w:val="31"/>
          <w:szCs w:val="31"/>
          <w:lang w:eastAsia="zh-CN" w:bidi="ar"/>
          <w14:textFill>
            <w14:solidFill>
              <w14:schemeClr w14:val="tx1"/>
            </w14:solidFill>
          </w14:textFill>
        </w:rPr>
        <w:t>征求意见稿</w:t>
      </w:r>
    </w:p>
    <w:p w14:paraId="0356EA98">
      <w:pPr>
        <w:widowControl/>
        <w:ind w:firstLine="620" w:firstLineChars="200"/>
        <w:jc w:val="left"/>
        <w:rPr>
          <w:rFonts w:hint="eastAsia" w:asciiTheme="minorEastAsia" w:hAnsiTheme="minorEastAsia" w:cstheme="minorEastAsia"/>
          <w:color w:val="000000" w:themeColor="text1"/>
          <w:kern w:val="0"/>
          <w:sz w:val="31"/>
          <w:szCs w:val="31"/>
          <w:lang w:bidi="ar"/>
          <w14:textFill>
            <w14:solidFill>
              <w14:schemeClr w14:val="tx1"/>
            </w14:solidFill>
          </w14:textFill>
        </w:rPr>
      </w:pPr>
      <w:r>
        <w:rPr>
          <w:rFonts w:hint="eastAsia" w:asciiTheme="minorEastAsia" w:hAnsiTheme="minorEastAsia" w:cstheme="minorEastAsia"/>
          <w:color w:val="000000" w:themeColor="text1"/>
          <w:kern w:val="0"/>
          <w:sz w:val="31"/>
          <w:szCs w:val="31"/>
          <w:lang w:bidi="ar"/>
          <w14:textFill>
            <w14:solidFill>
              <w14:schemeClr w14:val="tx1"/>
            </w14:solidFill>
          </w14:textFill>
        </w:rPr>
        <w:t>为满足人民群众对高品质住房</w:t>
      </w:r>
      <w:r>
        <w:rPr>
          <w:rFonts w:hint="eastAsia" w:asciiTheme="minorEastAsia" w:hAnsiTheme="minorEastAsia" w:cstheme="minorEastAsia"/>
          <w:color w:val="000000" w:themeColor="text1"/>
          <w:kern w:val="0"/>
          <w:sz w:val="31"/>
          <w:szCs w:val="31"/>
          <w:lang w:eastAsia="zh-CN" w:bidi="ar"/>
          <w14:textFill>
            <w14:solidFill>
              <w14:schemeClr w14:val="tx1"/>
            </w14:solidFill>
          </w14:textFill>
        </w:rPr>
        <w:t>的</w:t>
      </w:r>
      <w:r>
        <w:rPr>
          <w:rFonts w:hint="eastAsia" w:asciiTheme="minorEastAsia" w:hAnsiTheme="minorEastAsia" w:cstheme="minorEastAsia"/>
          <w:color w:val="000000" w:themeColor="text1"/>
          <w:kern w:val="0"/>
          <w:sz w:val="31"/>
          <w:szCs w:val="31"/>
          <w:lang w:bidi="ar"/>
          <w14:textFill>
            <w14:solidFill>
              <w14:schemeClr w14:val="tx1"/>
            </w14:solidFill>
          </w14:textFill>
        </w:rPr>
        <w:t>期待，由“住有所居”向“住有宜居”转变</w:t>
      </w:r>
      <w:r>
        <w:rPr>
          <w:rFonts w:hint="eastAsia" w:asciiTheme="minorEastAsia" w:hAnsiTheme="minorEastAsia" w:cstheme="minorEastAsia"/>
          <w:color w:val="000000" w:themeColor="text1"/>
          <w:kern w:val="0"/>
          <w:sz w:val="31"/>
          <w:szCs w:val="31"/>
          <w:lang w:eastAsia="zh-CN" w:bidi="ar"/>
          <w14:textFill>
            <w14:solidFill>
              <w14:schemeClr w14:val="tx1"/>
            </w14:solidFill>
          </w14:textFill>
        </w:rPr>
        <w:t>，进一步推动我区建筑规划设计的多样性和高品质发展，增加市场活力</w:t>
      </w:r>
      <w:r>
        <w:rPr>
          <w:rFonts w:hint="eastAsia" w:asciiTheme="minorEastAsia" w:hAnsiTheme="minorEastAsia" w:cstheme="minorEastAsia"/>
          <w:color w:val="000000" w:themeColor="text1"/>
          <w:kern w:val="0"/>
          <w:sz w:val="31"/>
          <w:szCs w:val="31"/>
          <w:lang w:bidi="ar"/>
          <w14:textFill>
            <w14:solidFill>
              <w14:schemeClr w14:val="tx1"/>
            </w14:solidFill>
          </w14:textFill>
        </w:rPr>
        <w:t>，依据《中共中央国务院关于进一步加强城市规划建设管理工作的若干意见》和《住房和城乡建设部国家发展改革委关于进一步加强城市与建筑风貌管理的通知》中关于加强对建筑设计管理的要求，结合《市规划资源局关于印发住宅多样性空间增值利用规划管理指导意见（试行）的通知》、《市规划资源局关于印发住宅多样性空间增值利用规划管理指导意见（第二批）的通知》内容，在借鉴滨海新区规划管理经验基础上，</w:t>
      </w:r>
      <w:r>
        <w:rPr>
          <w:rFonts w:hint="eastAsia" w:asciiTheme="minorEastAsia" w:hAnsiTheme="minorEastAsia" w:cstheme="minorEastAsia"/>
          <w:color w:val="000000" w:themeColor="text1"/>
          <w:kern w:val="0"/>
          <w:sz w:val="31"/>
          <w:szCs w:val="31"/>
          <w:lang w:eastAsia="zh-CN" w:bidi="ar"/>
          <w14:textFill>
            <w14:solidFill>
              <w14:schemeClr w14:val="tx1"/>
            </w14:solidFill>
          </w14:textFill>
        </w:rPr>
        <w:t>根据</w:t>
      </w:r>
      <w:r>
        <w:rPr>
          <w:rFonts w:hint="eastAsia" w:asciiTheme="minorEastAsia" w:hAnsiTheme="minorEastAsia" w:cstheme="minorEastAsia"/>
          <w:color w:val="000000" w:themeColor="text1"/>
          <w:kern w:val="0"/>
          <w:sz w:val="31"/>
          <w:szCs w:val="31"/>
          <w:lang w:bidi="ar"/>
          <w14:textFill>
            <w14:solidFill>
              <w14:schemeClr w14:val="tx1"/>
            </w14:solidFill>
          </w14:textFill>
        </w:rPr>
        <w:t>静海区实际，制定《静海区民用建筑规划设计管理创新指导意见》（以下简称《意见》）。</w:t>
      </w:r>
    </w:p>
    <w:p w14:paraId="387286D0">
      <w:pPr>
        <w:widowControl/>
        <w:ind w:firstLine="620" w:firstLineChars="200"/>
        <w:jc w:val="left"/>
        <w:rPr>
          <w:rFonts w:hint="eastAsia"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color w:val="000000" w:themeColor="text1"/>
          <w:kern w:val="0"/>
          <w:sz w:val="31"/>
          <w:szCs w:val="31"/>
          <w:lang w:bidi="ar"/>
          <w14:textFill>
            <w14:solidFill>
              <w14:schemeClr w14:val="tx1"/>
            </w14:solidFill>
          </w14:textFill>
        </w:rPr>
        <w:t xml:space="preserve">一、支持居住建筑充分利用露台空间 </w:t>
      </w:r>
    </w:p>
    <w:p w14:paraId="1CAA98E1">
      <w:pPr>
        <w:widowControl/>
        <w:ind w:firstLine="620" w:firstLineChars="200"/>
        <w:jc w:val="left"/>
        <w:rPr>
          <w:rFonts w:hint="eastAsia" w:asciiTheme="minorEastAsia" w:hAnsiTheme="minorEastAsia" w:cstheme="minorEastAsia"/>
          <w:color w:val="000000" w:themeColor="text1"/>
          <w:kern w:val="0"/>
          <w:sz w:val="31"/>
          <w:szCs w:val="31"/>
          <w:lang w:bidi="ar"/>
          <w14:textFill>
            <w14:solidFill>
              <w14:schemeClr w14:val="tx1"/>
            </w14:solidFill>
          </w14:textFill>
        </w:rPr>
      </w:pPr>
      <w:r>
        <w:rPr>
          <w:rFonts w:hint="eastAsia" w:asciiTheme="minorEastAsia" w:hAnsiTheme="minorEastAsia" w:cstheme="minorEastAsia"/>
          <w:color w:val="000000" w:themeColor="text1"/>
          <w:kern w:val="0"/>
          <w:sz w:val="31"/>
          <w:szCs w:val="31"/>
          <w:lang w:bidi="ar"/>
          <w14:textFill>
            <w14:solidFill>
              <w14:schemeClr w14:val="tx1"/>
            </w14:solidFill>
          </w14:textFill>
        </w:rPr>
        <w:t>为突出建筑的层次感、立体感，改善采光和通风条件，丰富城市建筑造型，提升人居环境体验，多层居住建筑可适当设计创新，通过错层、退台、屋顶等方式设置露台，建设更加丰富、有活力的住宅产品。高层建筑应充分考虑功能、安全等因素，不应采用错层、退台露台设计。</w:t>
      </w:r>
    </w:p>
    <w:p w14:paraId="57B7B5DF">
      <w:pPr>
        <w:widowControl/>
        <w:ind w:firstLine="620" w:firstLineChars="200"/>
        <w:jc w:val="left"/>
        <w:rPr>
          <w:rFonts w:hint="eastAsia"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color w:val="000000" w:themeColor="text1"/>
          <w:kern w:val="0"/>
          <w:sz w:val="31"/>
          <w:szCs w:val="31"/>
          <w:lang w:bidi="ar"/>
          <w14:textFill>
            <w14:solidFill>
              <w14:schemeClr w14:val="tx1"/>
            </w14:solidFill>
          </w14:textFill>
        </w:rPr>
        <w:t>建筑设计应统筹考虑周边相邻地块建筑风貌，</w:t>
      </w:r>
      <w:r>
        <w:rPr>
          <w:rFonts w:asciiTheme="minorEastAsia" w:hAnsiTheme="minorEastAsia" w:cstheme="minorEastAsia"/>
          <w:color w:val="000000" w:themeColor="text1"/>
          <w:kern w:val="0"/>
          <w:sz w:val="31"/>
          <w:szCs w:val="31"/>
          <w:lang w:bidi="ar"/>
          <w14:textFill>
            <w14:solidFill>
              <w14:schemeClr w14:val="tx1"/>
            </w14:solidFill>
          </w14:textFill>
        </w:rPr>
        <w:t>保持建筑的美观性和实用性</w:t>
      </w:r>
      <w:r>
        <w:rPr>
          <w:rFonts w:hint="eastAsia" w:asciiTheme="minorEastAsia" w:hAnsiTheme="minorEastAsia" w:cstheme="minorEastAsia"/>
          <w:color w:val="000000" w:themeColor="text1"/>
          <w:kern w:val="0"/>
          <w:sz w:val="31"/>
          <w:szCs w:val="31"/>
          <w:lang w:bidi="ar"/>
          <w14:textFill>
            <w14:solidFill>
              <w14:schemeClr w14:val="tx1"/>
            </w14:solidFill>
          </w14:textFill>
        </w:rPr>
        <w:t>，保障区域建筑形态和空间的错落与协调，并符合以下要求：</w:t>
      </w:r>
    </w:p>
    <w:p w14:paraId="3DC90673">
      <w:pPr>
        <w:widowControl/>
        <w:ind w:firstLine="620" w:firstLineChars="200"/>
        <w:jc w:val="left"/>
        <w:rPr>
          <w:rFonts w:hint="eastAsia" w:asciiTheme="minorEastAsia" w:hAnsiTheme="minorEastAsia" w:cstheme="minorEastAsia"/>
          <w:color w:val="000000" w:themeColor="text1"/>
          <w:kern w:val="0"/>
          <w:sz w:val="31"/>
          <w:szCs w:val="31"/>
          <w:lang w:bidi="ar"/>
          <w14:textFill>
            <w14:solidFill>
              <w14:schemeClr w14:val="tx1"/>
            </w14:solidFill>
          </w14:textFill>
        </w:rPr>
      </w:pPr>
      <w:r>
        <w:rPr>
          <w:rFonts w:hint="eastAsia" w:asciiTheme="minorEastAsia" w:hAnsiTheme="minorEastAsia" w:cstheme="minorEastAsia"/>
          <w:color w:val="000000" w:themeColor="text1"/>
          <w:kern w:val="0"/>
          <w:sz w:val="31"/>
          <w:szCs w:val="31"/>
          <w:lang w:bidi="ar"/>
          <w14:textFill>
            <w14:solidFill>
              <w14:schemeClr w14:val="tx1"/>
            </w14:solidFill>
          </w14:textFill>
        </w:rPr>
        <w:t>1.整体和谐。设置错层、退台、屋顶露台等形式应注意建筑空间的完整，</w:t>
      </w:r>
      <w:r>
        <w:rPr>
          <w:rFonts w:asciiTheme="minorEastAsia" w:hAnsiTheme="minorEastAsia" w:cstheme="minorEastAsia"/>
          <w:color w:val="000000" w:themeColor="text1"/>
          <w:kern w:val="0"/>
          <w:sz w:val="31"/>
          <w:szCs w:val="31"/>
          <w:lang w:bidi="ar"/>
          <w14:textFill>
            <w14:solidFill>
              <w14:schemeClr w14:val="tx1"/>
            </w14:solidFill>
          </w14:textFill>
        </w:rPr>
        <w:t>设计</w:t>
      </w:r>
      <w:r>
        <w:rPr>
          <w:rFonts w:hint="eastAsia" w:asciiTheme="minorEastAsia" w:hAnsiTheme="minorEastAsia" w:cstheme="minorEastAsia"/>
          <w:color w:val="000000" w:themeColor="text1"/>
          <w:kern w:val="0"/>
          <w:sz w:val="31"/>
          <w:szCs w:val="31"/>
          <w:lang w:bidi="ar"/>
          <w14:textFill>
            <w14:solidFill>
              <w14:schemeClr w14:val="tx1"/>
            </w14:solidFill>
          </w14:textFill>
        </w:rPr>
        <w:t>时应充分</w:t>
      </w:r>
      <w:r>
        <w:rPr>
          <w:rFonts w:asciiTheme="minorEastAsia" w:hAnsiTheme="minorEastAsia" w:cstheme="minorEastAsia"/>
          <w:color w:val="000000" w:themeColor="text1"/>
          <w:kern w:val="0"/>
          <w:sz w:val="31"/>
          <w:szCs w:val="31"/>
          <w:lang w:bidi="ar"/>
          <w14:textFill>
            <w14:solidFill>
              <w14:schemeClr w14:val="tx1"/>
            </w14:solidFill>
          </w14:textFill>
        </w:rPr>
        <w:t>考虑建筑的</w:t>
      </w:r>
      <w:r>
        <w:rPr>
          <w:rFonts w:hint="eastAsia" w:asciiTheme="minorEastAsia" w:hAnsiTheme="minorEastAsia" w:cstheme="minorEastAsia"/>
          <w:color w:val="000000" w:themeColor="text1"/>
          <w:kern w:val="0"/>
          <w:sz w:val="31"/>
          <w:szCs w:val="31"/>
          <w:lang w:bidi="ar"/>
          <w14:textFill>
            <w14:solidFill>
              <w14:schemeClr w14:val="tx1"/>
            </w14:solidFill>
          </w14:textFill>
        </w:rPr>
        <w:t>形象</w:t>
      </w:r>
      <w:r>
        <w:rPr>
          <w:rFonts w:asciiTheme="minorEastAsia" w:hAnsiTheme="minorEastAsia" w:cstheme="minorEastAsia"/>
          <w:color w:val="000000" w:themeColor="text1"/>
          <w:kern w:val="0"/>
          <w:sz w:val="31"/>
          <w:szCs w:val="31"/>
          <w:lang w:bidi="ar"/>
          <w14:textFill>
            <w14:solidFill>
              <w14:schemeClr w14:val="tx1"/>
            </w14:solidFill>
          </w14:textFill>
        </w:rPr>
        <w:t>、</w:t>
      </w:r>
      <w:r>
        <w:rPr>
          <w:rFonts w:hint="eastAsia" w:asciiTheme="minorEastAsia" w:hAnsiTheme="minorEastAsia" w:cstheme="minorEastAsia"/>
          <w:color w:val="000000" w:themeColor="text1"/>
          <w:kern w:val="0"/>
          <w:sz w:val="31"/>
          <w:szCs w:val="31"/>
          <w:lang w:bidi="ar"/>
          <w14:textFill>
            <w14:solidFill>
              <w14:schemeClr w14:val="tx1"/>
            </w14:solidFill>
          </w14:textFill>
        </w:rPr>
        <w:t>防水、安全</w:t>
      </w:r>
      <w:r>
        <w:rPr>
          <w:rFonts w:asciiTheme="minorEastAsia" w:hAnsiTheme="minorEastAsia" w:cstheme="minorEastAsia"/>
          <w:color w:val="000000" w:themeColor="text1"/>
          <w:kern w:val="0"/>
          <w:sz w:val="31"/>
          <w:szCs w:val="31"/>
          <w:lang w:bidi="ar"/>
          <w14:textFill>
            <w14:solidFill>
              <w14:schemeClr w14:val="tx1"/>
            </w14:solidFill>
          </w14:textFill>
        </w:rPr>
        <w:t>等</w:t>
      </w:r>
      <w:r>
        <w:rPr>
          <w:rFonts w:hint="eastAsia" w:asciiTheme="minorEastAsia" w:hAnsiTheme="minorEastAsia" w:cstheme="minorEastAsia"/>
          <w:color w:val="000000" w:themeColor="text1"/>
          <w:kern w:val="0"/>
          <w:sz w:val="31"/>
          <w:szCs w:val="31"/>
          <w:lang w:bidi="ar"/>
          <w14:textFill>
            <w14:solidFill>
              <w14:schemeClr w14:val="tx1"/>
            </w14:solidFill>
          </w14:textFill>
        </w:rPr>
        <w:t>因素</w:t>
      </w:r>
      <w:r>
        <w:rPr>
          <w:rFonts w:asciiTheme="minorEastAsia" w:hAnsiTheme="minorEastAsia" w:cstheme="minorEastAsia"/>
          <w:color w:val="000000" w:themeColor="text1"/>
          <w:kern w:val="0"/>
          <w:sz w:val="31"/>
          <w:szCs w:val="31"/>
          <w:lang w:bidi="ar"/>
          <w14:textFill>
            <w14:solidFill>
              <w14:schemeClr w14:val="tx1"/>
            </w14:solidFill>
          </w14:textFill>
        </w:rPr>
        <w:t>。</w:t>
      </w:r>
    </w:p>
    <w:p w14:paraId="64094CD5">
      <w:pPr>
        <w:widowControl/>
        <w:ind w:firstLine="620" w:firstLineChars="200"/>
        <w:jc w:val="left"/>
        <w:rPr>
          <w:rFonts w:hint="eastAsia" w:asciiTheme="minorEastAsia" w:hAnsiTheme="minorEastAsia" w:cstheme="minorEastAsia"/>
          <w:color w:val="000000" w:themeColor="text1"/>
          <w:kern w:val="0"/>
          <w:sz w:val="31"/>
          <w:szCs w:val="31"/>
          <w:lang w:bidi="ar"/>
          <w14:textFill>
            <w14:solidFill>
              <w14:schemeClr w14:val="tx1"/>
            </w14:solidFill>
          </w14:textFill>
        </w:rPr>
      </w:pPr>
      <w:r>
        <w:rPr>
          <w:rFonts w:hint="eastAsia" w:asciiTheme="minorEastAsia" w:hAnsiTheme="minorEastAsia" w:cstheme="minorEastAsia"/>
          <w:color w:val="000000" w:themeColor="text1"/>
          <w:kern w:val="0"/>
          <w:sz w:val="31"/>
          <w:szCs w:val="31"/>
          <w:lang w:bidi="ar"/>
          <w14:textFill>
            <w14:solidFill>
              <w14:schemeClr w14:val="tx1"/>
            </w14:solidFill>
          </w14:textFill>
        </w:rPr>
        <w:t>2.可靠安全。可通过护栏等方式保障错层、退台、屋顶露台的使用安全，设计时应充分考虑荷载计算，严禁装修改造，同时应对安全性做详细、明确的说明，确保后续规范管理。</w:t>
      </w:r>
    </w:p>
    <w:p w14:paraId="53D5662A">
      <w:pPr>
        <w:widowControl/>
        <w:ind w:firstLine="620" w:firstLineChars="200"/>
        <w:jc w:val="left"/>
        <w:rPr>
          <w:rFonts w:hint="eastAsia" w:asciiTheme="minorEastAsia" w:hAnsiTheme="minorEastAsia" w:cstheme="minorEastAsia"/>
          <w:color w:val="000000" w:themeColor="text1"/>
          <w:kern w:val="0"/>
          <w:sz w:val="31"/>
          <w:szCs w:val="31"/>
          <w:lang w:bidi="ar"/>
          <w14:textFill>
            <w14:solidFill>
              <w14:schemeClr w14:val="tx1"/>
            </w14:solidFill>
          </w14:textFill>
        </w:rPr>
      </w:pPr>
      <w:r>
        <w:rPr>
          <w:rFonts w:hint="eastAsia" w:asciiTheme="minorEastAsia" w:hAnsiTheme="minorEastAsia" w:cstheme="minorEastAsia"/>
          <w:color w:val="000000" w:themeColor="text1"/>
          <w:kern w:val="0"/>
          <w:sz w:val="31"/>
          <w:szCs w:val="31"/>
          <w:lang w:bidi="ar"/>
          <w14:textFill>
            <w14:solidFill>
              <w14:schemeClr w14:val="tx1"/>
            </w14:solidFill>
          </w14:textFill>
        </w:rPr>
        <w:t>3.景观效果。露台鼓励设置绿植等多样景观形式，但应充分考虑绿化形象的整体性，可通过小型种植池、盆栽等方式统一绿化效果，不宜过度绿化，不应采用影响立面形象的廊架、爬架等设施。</w:t>
      </w:r>
    </w:p>
    <w:p w14:paraId="3CBD2A7B">
      <w:pPr>
        <w:widowControl/>
        <w:ind w:firstLine="620" w:firstLineChars="200"/>
        <w:jc w:val="left"/>
        <w:rPr>
          <w:rFonts w:hint="eastAsia" w:asciiTheme="minorEastAsia" w:hAnsiTheme="minorEastAsia" w:cstheme="minorEastAsia"/>
          <w:color w:val="000000" w:themeColor="text1"/>
          <w:kern w:val="0"/>
          <w:sz w:val="31"/>
          <w:szCs w:val="31"/>
          <w:lang w:bidi="ar"/>
          <w14:textFill>
            <w14:solidFill>
              <w14:schemeClr w14:val="tx1"/>
            </w14:solidFill>
          </w14:textFill>
        </w:rPr>
      </w:pPr>
      <w:r>
        <w:rPr>
          <w:rFonts w:hint="eastAsia" w:asciiTheme="minorEastAsia" w:hAnsiTheme="minorEastAsia" w:cstheme="minorEastAsia"/>
          <w:color w:val="000000" w:themeColor="text1"/>
          <w:kern w:val="0"/>
          <w:sz w:val="31"/>
          <w:szCs w:val="31"/>
          <w:lang w:bidi="ar"/>
          <w14:textFill>
            <w14:solidFill>
              <w14:schemeClr w14:val="tx1"/>
            </w14:solidFill>
          </w14:textFill>
        </w:rPr>
        <w:t>4.充分考虑私密性。注意保护居住房间的私密性，避免错层、退台对住户隐私的影响。露台可采用垂直分户墙体、防护栏杆后退等方式保护居住空间私密性。本层露台顶部不宜采用遮蔽措施。</w:t>
      </w:r>
    </w:p>
    <w:p w14:paraId="401386A0">
      <w:pPr>
        <w:widowControl/>
        <w:ind w:firstLine="620" w:firstLineChars="200"/>
        <w:jc w:val="left"/>
        <w:rPr>
          <w:rFonts w:hint="eastAsia" w:asciiTheme="minorEastAsia" w:hAnsiTheme="minorEastAsia" w:cstheme="minorEastAsia"/>
          <w:color w:val="000000" w:themeColor="text1"/>
          <w:kern w:val="0"/>
          <w:sz w:val="31"/>
          <w:szCs w:val="31"/>
          <w:lang w:bidi="ar"/>
          <w14:textFill>
            <w14:solidFill>
              <w14:schemeClr w14:val="tx1"/>
            </w14:solidFill>
          </w14:textFill>
        </w:rPr>
      </w:pPr>
      <w:r>
        <w:rPr>
          <w:rFonts w:hint="eastAsia" w:asciiTheme="minorEastAsia" w:hAnsiTheme="minorEastAsia" w:cstheme="minorEastAsia"/>
          <w:color w:val="000000" w:themeColor="text1"/>
          <w:kern w:val="0"/>
          <w:sz w:val="31"/>
          <w:szCs w:val="31"/>
          <w:lang w:bidi="ar"/>
          <w14:textFill>
            <w14:solidFill>
              <w14:schemeClr w14:val="tx1"/>
            </w14:solidFill>
          </w14:textFill>
        </w:rPr>
        <w:t>5.在充分设计分析的基础上，采用相关政策的项目，应编制错层、退台、屋顶露台使用要求和守则，在销售阶段即要充分告知。购房业主必须遵守设计要求和相关管理，严禁后期以相关理由进行违规封闭。</w:t>
      </w:r>
    </w:p>
    <w:p w14:paraId="48208F14">
      <w:pPr>
        <w:widowControl/>
        <w:ind w:firstLine="620" w:firstLineChars="200"/>
        <w:jc w:val="left"/>
        <w:rPr>
          <w:rFonts w:hint="eastAsia" w:asciiTheme="minorEastAsia" w:hAnsiTheme="minorEastAsia" w:cstheme="minorEastAsia"/>
          <w:color w:val="000000" w:themeColor="text1"/>
          <w:kern w:val="0"/>
          <w:sz w:val="31"/>
          <w:szCs w:val="31"/>
          <w:lang w:bidi="ar"/>
          <w14:textFill>
            <w14:solidFill>
              <w14:schemeClr w14:val="tx1"/>
            </w14:solidFill>
          </w14:textFill>
        </w:rPr>
      </w:pPr>
      <w:r>
        <w:rPr>
          <w:rFonts w:hint="eastAsia" w:asciiTheme="minorEastAsia" w:hAnsiTheme="minorEastAsia" w:cstheme="minorEastAsia"/>
          <w:color w:val="000000" w:themeColor="text1"/>
          <w:kern w:val="0"/>
          <w:sz w:val="31"/>
          <w:szCs w:val="31"/>
          <w:lang w:bidi="ar"/>
          <w14:textFill>
            <w14:solidFill>
              <w14:schemeClr w14:val="tx1"/>
            </w14:solidFill>
          </w14:textFill>
        </w:rPr>
        <w:t>二、 多层居住建筑可增设套内共享空间，提高住宅类建筑设计品质。</w:t>
      </w:r>
    </w:p>
    <w:p w14:paraId="241DBBC6">
      <w:pPr>
        <w:widowControl/>
        <w:ind w:firstLine="600" w:firstLineChars="200"/>
        <w:jc w:val="left"/>
        <w:rPr>
          <w:rFonts w:hint="eastAsia" w:asciiTheme="minorEastAsia" w:hAnsiTheme="minorEastAsia" w:cstheme="minorEastAsia"/>
          <w:color w:val="000000" w:themeColor="text1"/>
          <w:kern w:val="0"/>
          <w:sz w:val="30"/>
          <w:szCs w:val="30"/>
          <w:lang w:bidi="ar"/>
          <w14:textFill>
            <w14:solidFill>
              <w14:schemeClr w14:val="tx1"/>
            </w14:solidFill>
          </w14:textFill>
        </w:rPr>
      </w:pPr>
      <w:r>
        <w:rPr>
          <w:rFonts w:hint="eastAsia" w:asciiTheme="minorEastAsia" w:hAnsiTheme="minorEastAsia" w:cstheme="minorEastAsia"/>
          <w:color w:val="000000" w:themeColor="text1"/>
          <w:kern w:val="0"/>
          <w:sz w:val="30"/>
          <w:szCs w:val="30"/>
          <w:lang w:bidi="ar"/>
          <w14:textFill>
            <w14:solidFill>
              <w14:schemeClr w14:val="tx1"/>
            </w14:solidFill>
          </w14:textFill>
        </w:rPr>
        <w:t>多层居住建筑门厅、起居室、餐厅等通高部位的建筑层高不宜大于7.2米，且通高部位建筑面积总和不应超过该户套型总建筑面积的30%。</w:t>
      </w:r>
    </w:p>
    <w:p w14:paraId="23B955AD">
      <w:pPr>
        <w:widowControl/>
        <w:ind w:firstLine="600" w:firstLineChars="200"/>
        <w:jc w:val="left"/>
        <w:rPr>
          <w:rFonts w:hint="eastAsia" w:asciiTheme="minorEastAsia" w:hAnsiTheme="minorEastAsia" w:cstheme="minorEastAsia"/>
          <w:color w:val="000000" w:themeColor="text1"/>
          <w:kern w:val="0"/>
          <w:sz w:val="30"/>
          <w:szCs w:val="30"/>
          <w:lang w:bidi="ar"/>
          <w14:textFill>
            <w14:solidFill>
              <w14:schemeClr w14:val="tx1"/>
            </w14:solidFill>
          </w14:textFill>
        </w:rPr>
      </w:pPr>
      <w:r>
        <w:rPr>
          <w:rFonts w:hint="eastAsia" w:asciiTheme="minorEastAsia" w:hAnsiTheme="minorEastAsia" w:cstheme="minorEastAsia"/>
          <w:color w:val="000000" w:themeColor="text1"/>
          <w:kern w:val="0"/>
          <w:sz w:val="30"/>
          <w:szCs w:val="30"/>
          <w:lang w:bidi="ar"/>
          <w14:textFill>
            <w14:solidFill>
              <w14:schemeClr w14:val="tx1"/>
            </w14:solidFill>
          </w14:textFill>
        </w:rPr>
        <w:t>通高部分应按照实际用途开展设计，不得预留后期增加楼板、夹层及封闭空间的结构和构造，以免造成安全、消防隐患。</w:t>
      </w:r>
    </w:p>
    <w:p w14:paraId="181890E9">
      <w:pPr>
        <w:widowControl/>
        <w:ind w:firstLine="600" w:firstLineChars="200"/>
        <w:jc w:val="left"/>
        <w:rPr>
          <w:rFonts w:hint="eastAsia" w:asciiTheme="minorEastAsia" w:hAnsiTheme="minorEastAsia" w:cstheme="minorEastAsia"/>
          <w:color w:val="000000" w:themeColor="text1"/>
          <w:kern w:val="0"/>
          <w:sz w:val="30"/>
          <w:szCs w:val="30"/>
          <w:lang w:bidi="ar"/>
          <w14:textFill>
            <w14:solidFill>
              <w14:schemeClr w14:val="tx1"/>
            </w14:solidFill>
          </w14:textFill>
        </w:rPr>
      </w:pPr>
      <w:r>
        <w:rPr>
          <w:rFonts w:hint="eastAsia" w:asciiTheme="minorEastAsia" w:hAnsiTheme="minorEastAsia" w:cstheme="minorEastAsia"/>
          <w:color w:val="000000" w:themeColor="text1"/>
          <w:kern w:val="0"/>
          <w:sz w:val="30"/>
          <w:szCs w:val="30"/>
          <w:lang w:bidi="ar"/>
          <w14:textFill>
            <w14:solidFill>
              <w14:schemeClr w14:val="tx1"/>
            </w14:solidFill>
          </w14:textFill>
        </w:rPr>
        <w:t>位于顶层的通高部位，应充分考虑建筑立面形象，结合屋顶造型设计，尺度适宜、比例和谐，不应过分突兀。</w:t>
      </w:r>
    </w:p>
    <w:p w14:paraId="017C03EE">
      <w:pPr>
        <w:widowControl/>
        <w:ind w:firstLine="600" w:firstLineChars="200"/>
        <w:jc w:val="left"/>
        <w:rPr>
          <w:rFonts w:hint="eastAsia" w:asciiTheme="minorEastAsia" w:hAnsiTheme="minorEastAsia" w:cstheme="minorEastAsia"/>
          <w:color w:val="000000" w:themeColor="text1"/>
          <w:kern w:val="0"/>
          <w:sz w:val="30"/>
          <w:szCs w:val="30"/>
          <w:lang w:bidi="ar"/>
          <w14:textFill>
            <w14:solidFill>
              <w14:schemeClr w14:val="tx1"/>
            </w14:solidFill>
          </w14:textFill>
        </w:rPr>
      </w:pPr>
      <w:r>
        <w:rPr>
          <w:rFonts w:hint="eastAsia" w:asciiTheme="minorEastAsia" w:hAnsiTheme="minorEastAsia" w:cstheme="minorEastAsia"/>
          <w:color w:val="000000" w:themeColor="text1"/>
          <w:kern w:val="0"/>
          <w:sz w:val="30"/>
          <w:szCs w:val="30"/>
          <w:lang w:bidi="ar"/>
          <w14:textFill>
            <w14:solidFill>
              <w14:schemeClr w14:val="tx1"/>
            </w14:solidFill>
          </w14:textFill>
        </w:rPr>
        <w:t>顶层通高部分与屋顶露台结合设计的，需要明确居住空间通往露台的楼梯和开门位置，并按照相关规范计算容积率。</w:t>
      </w:r>
    </w:p>
    <w:p w14:paraId="0DAF674E">
      <w:pPr>
        <w:widowControl/>
        <w:ind w:firstLine="600" w:firstLineChars="200"/>
        <w:jc w:val="left"/>
        <w:rPr>
          <w:rFonts w:hint="eastAsia" w:asciiTheme="minorEastAsia" w:hAnsiTheme="minorEastAsia" w:cstheme="minorEastAsia"/>
          <w:color w:val="000000" w:themeColor="text1"/>
          <w:kern w:val="0"/>
          <w:sz w:val="31"/>
          <w:szCs w:val="31"/>
          <w:lang w:bidi="ar"/>
          <w14:textFill>
            <w14:solidFill>
              <w14:schemeClr w14:val="tx1"/>
            </w14:solidFill>
          </w14:textFill>
        </w:rPr>
      </w:pPr>
      <w:r>
        <w:rPr>
          <w:rFonts w:hint="eastAsia" w:asciiTheme="minorEastAsia" w:hAnsiTheme="minorEastAsia" w:cstheme="minorEastAsia"/>
          <w:color w:val="000000" w:themeColor="text1"/>
          <w:kern w:val="0"/>
          <w:sz w:val="30"/>
          <w:szCs w:val="30"/>
          <w:lang w:bidi="ar"/>
          <w14:textFill>
            <w14:solidFill>
              <w14:schemeClr w14:val="tx1"/>
            </w14:solidFill>
          </w14:textFill>
        </w:rPr>
        <w:t>三、</w:t>
      </w:r>
      <w:r>
        <w:rPr>
          <w:rFonts w:hint="eastAsia" w:asciiTheme="minorEastAsia" w:hAnsiTheme="minorEastAsia" w:cstheme="minorEastAsia"/>
          <w:color w:val="000000" w:themeColor="text1"/>
          <w:kern w:val="0"/>
          <w:sz w:val="31"/>
          <w:szCs w:val="31"/>
          <w:lang w:bidi="ar"/>
          <w14:textFill>
            <w14:solidFill>
              <w14:schemeClr w14:val="tx1"/>
            </w14:solidFill>
          </w14:textFill>
        </w:rPr>
        <w:t>以惠民为原则，鼓励住宅建筑设置开敞阳台，提升居住品质</w:t>
      </w:r>
    </w:p>
    <w:p w14:paraId="1D1AC466">
      <w:pPr>
        <w:widowControl/>
        <w:ind w:firstLine="620" w:firstLineChars="200"/>
        <w:jc w:val="left"/>
        <w:rPr>
          <w:rFonts w:hint="eastAsia"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color w:val="000000" w:themeColor="text1"/>
          <w:kern w:val="0"/>
          <w:sz w:val="31"/>
          <w:szCs w:val="31"/>
          <w:lang w:bidi="ar"/>
          <w14:textFill>
            <w14:solidFill>
              <w14:schemeClr w14:val="tx1"/>
            </w14:solidFill>
          </w14:textFill>
        </w:rPr>
        <w:t xml:space="preserve">（一）居住建筑开敞阳台最大进深不应大于2米，居住建筑的每个套型中的阳台、凸窗、设备平台、室外空调机搁板等构件的水平投影面积之和，不应超过该套型总建筑面积的15%，且不应大于30㎡。阳台的设置应兼顾实用、美观和安全的原则，结合住宅主要居室（起居室、卧室）使用功能进行设置。设计时应充分考虑荷载计算，严禁超荷载装修改造，同时应对安全性应做详细、明确的专篇，确保后续规范管理。 </w:t>
      </w:r>
    </w:p>
    <w:p w14:paraId="26ED50B7">
      <w:pPr>
        <w:widowControl/>
        <w:ind w:firstLine="620" w:firstLineChars="200"/>
        <w:jc w:val="left"/>
        <w:rPr>
          <w:rFonts w:hint="eastAsia" w:asciiTheme="minorEastAsia" w:hAnsiTheme="minorEastAsia" w:cstheme="minorEastAsia"/>
          <w:color w:val="000000" w:themeColor="text1"/>
          <w:kern w:val="0"/>
          <w:sz w:val="31"/>
          <w:szCs w:val="31"/>
          <w:lang w:bidi="ar"/>
          <w14:textFill>
            <w14:solidFill>
              <w14:schemeClr w14:val="tx1"/>
            </w14:solidFill>
          </w14:textFill>
        </w:rPr>
      </w:pPr>
      <w:r>
        <w:rPr>
          <w:rFonts w:hint="eastAsia" w:asciiTheme="minorEastAsia" w:hAnsiTheme="minorEastAsia" w:cstheme="minorEastAsia"/>
          <w:color w:val="000000" w:themeColor="text1"/>
          <w:kern w:val="0"/>
          <w:sz w:val="31"/>
          <w:szCs w:val="31"/>
          <w:lang w:bidi="ar"/>
          <w14:textFill>
            <w14:solidFill>
              <w14:schemeClr w14:val="tx1"/>
            </w14:solidFill>
          </w14:textFill>
        </w:rPr>
        <w:t>（二）开敞阳台严禁封闭。</w:t>
      </w:r>
    </w:p>
    <w:p w14:paraId="793E3B88">
      <w:pPr>
        <w:widowControl/>
        <w:ind w:firstLine="620" w:firstLineChars="200"/>
        <w:jc w:val="left"/>
        <w:rPr>
          <w:rFonts w:hint="eastAsia" w:asciiTheme="minorEastAsia" w:hAnsiTheme="minorEastAsia" w:cstheme="minorEastAsia"/>
          <w:color w:val="000000" w:themeColor="text1"/>
          <w:kern w:val="0"/>
          <w:sz w:val="31"/>
          <w:szCs w:val="31"/>
          <w:lang w:bidi="ar"/>
          <w14:textFill>
            <w14:solidFill>
              <w14:schemeClr w14:val="tx1"/>
            </w14:solidFill>
          </w14:textFill>
        </w:rPr>
      </w:pPr>
      <w:r>
        <w:rPr>
          <w:rFonts w:hint="eastAsia" w:asciiTheme="minorEastAsia" w:hAnsiTheme="minorEastAsia" w:cstheme="minorEastAsia"/>
          <w:color w:val="000000" w:themeColor="text1"/>
          <w:kern w:val="0"/>
          <w:sz w:val="31"/>
          <w:szCs w:val="31"/>
          <w:lang w:bidi="ar"/>
          <w14:textFill>
            <w14:solidFill>
              <w14:schemeClr w14:val="tx1"/>
            </w14:solidFill>
          </w14:textFill>
        </w:rPr>
        <w:t>（三）阳台设置需考虑日照影响。</w:t>
      </w:r>
    </w:p>
    <w:p w14:paraId="637EB7B1">
      <w:pPr>
        <w:widowControl/>
        <w:ind w:firstLine="600" w:firstLineChars="200"/>
        <w:jc w:val="left"/>
        <w:rPr>
          <w:rFonts w:hint="eastAsia" w:asciiTheme="minorEastAsia" w:hAnsiTheme="minorEastAsia" w:cstheme="minorEastAsia"/>
          <w:color w:val="000000" w:themeColor="text1"/>
          <w:kern w:val="0"/>
          <w:sz w:val="30"/>
          <w:szCs w:val="30"/>
          <w:lang w:bidi="ar"/>
          <w14:textFill>
            <w14:solidFill>
              <w14:schemeClr w14:val="tx1"/>
            </w14:solidFill>
          </w14:textFill>
        </w:rPr>
      </w:pPr>
      <w:r>
        <w:rPr>
          <w:rFonts w:hint="eastAsia" w:asciiTheme="minorEastAsia" w:hAnsiTheme="minorEastAsia" w:cstheme="minorEastAsia"/>
          <w:color w:val="000000" w:themeColor="text1"/>
          <w:kern w:val="0"/>
          <w:sz w:val="30"/>
          <w:szCs w:val="30"/>
          <w:lang w:bidi="ar"/>
          <w14:textFill>
            <w14:solidFill>
              <w14:schemeClr w14:val="tx1"/>
            </w14:solidFill>
          </w14:textFill>
        </w:rPr>
        <w:t>四、鼓励优化城市界面。为优化城市天际线管控，鼓励住宅建设项目在合理设计天际线的前提下，建筑限高在满足控规的前提下，可按《城市居住区规划设计标准》（GB50180-2018）表 4.0.2 的 控制指标适度优化，即居住用地容积率可按项目实际地上建设面积容积率（包含不计容建筑面积）取值，上限高度可适当突破表格要求，最大可提高一档，视为符合规划条件。规划资源部门在审批建筑高度大于80米的住宅建设项目时，应当征求属地同级消防救援机构意见且经专家论证确定。</w:t>
      </w:r>
    </w:p>
    <w:p w14:paraId="0F59FD76">
      <w:pPr>
        <w:widowControl/>
        <w:ind w:firstLine="600" w:firstLineChars="200"/>
        <w:jc w:val="left"/>
        <w:rPr>
          <w:rFonts w:hint="eastAsia" w:asciiTheme="minorEastAsia" w:hAnsiTheme="minorEastAsia" w:cstheme="minorEastAsia"/>
          <w:color w:val="000000" w:themeColor="text1"/>
          <w:kern w:val="0"/>
          <w:sz w:val="30"/>
          <w:szCs w:val="30"/>
          <w:lang w:bidi="ar"/>
          <w14:textFill>
            <w14:solidFill>
              <w14:schemeClr w14:val="tx1"/>
            </w14:solidFill>
          </w14:textFill>
        </w:rPr>
      </w:pPr>
      <w:r>
        <w:rPr>
          <w:rFonts w:hint="eastAsia" w:asciiTheme="minorEastAsia" w:hAnsiTheme="minorEastAsia" w:cstheme="minorEastAsia"/>
          <w:color w:val="000000" w:themeColor="text1"/>
          <w:kern w:val="0"/>
          <w:sz w:val="30"/>
          <w:szCs w:val="30"/>
          <w:lang w:bidi="ar"/>
          <w14:textFill>
            <w14:solidFill>
              <w14:schemeClr w14:val="tx1"/>
            </w14:solidFill>
          </w14:textFill>
        </w:rPr>
        <w:t>五、鼓励注重居住小区各类出入口设计。</w:t>
      </w:r>
    </w:p>
    <w:p w14:paraId="0A5D4A86">
      <w:pPr>
        <w:widowControl/>
        <w:ind w:firstLine="600" w:firstLineChars="200"/>
        <w:jc w:val="left"/>
        <w:rPr>
          <w:rFonts w:hint="eastAsia" w:asciiTheme="minorEastAsia" w:hAnsiTheme="minorEastAsia" w:cstheme="minorEastAsia"/>
          <w:color w:val="000000" w:themeColor="text1"/>
          <w:sz w:val="31"/>
          <w:szCs w:val="31"/>
          <w:lang w:bidi="ar"/>
          <w14:textFill>
            <w14:solidFill>
              <w14:schemeClr w14:val="tx1"/>
            </w14:solidFill>
          </w14:textFill>
        </w:rPr>
      </w:pPr>
      <w:r>
        <w:rPr>
          <w:rFonts w:hint="eastAsia" w:asciiTheme="minorEastAsia" w:hAnsiTheme="minorEastAsia" w:cstheme="minorEastAsia"/>
          <w:color w:val="000000" w:themeColor="text1"/>
          <w:kern w:val="0"/>
          <w:sz w:val="30"/>
          <w:szCs w:val="30"/>
          <w:lang w:bidi="ar"/>
          <w14:textFill>
            <w14:solidFill>
              <w14:schemeClr w14:val="tx1"/>
            </w14:solidFill>
          </w14:textFill>
        </w:rPr>
        <w:t>（一）住区出入口。为集约利用土地，提升居住社区内部环境，鼓励住宅建设项目结合景观设置高品质出入口。鼓励设置归家大堂，功能可包含《城镇社区公共服务设施规划设计标准（试行版）》表A.5新建业委会街坊基本设施配置表中管理与服务设施的配置内容（门卫（不大于20平方米）可计入物业管理指标。鼓励设置</w:t>
      </w:r>
      <w:r>
        <w:rPr>
          <w:rFonts w:hint="eastAsia" w:asciiTheme="minorEastAsia" w:hAnsiTheme="minorEastAsia" w:cstheme="minorEastAsia"/>
          <w:color w:val="000000" w:themeColor="text1"/>
          <w:sz w:val="31"/>
          <w:szCs w:val="31"/>
          <w:lang w:bidi="ar"/>
          <w14:textFill>
            <w14:solidFill>
              <w14:schemeClr w14:val="tx1"/>
            </w14:solidFill>
          </w14:textFill>
        </w:rPr>
        <w:t>访客、快递等多功能车位，车位总数不宜少于规划配建要求的2%，最多不超过10个，不计入机动车停车配建指标。</w:t>
      </w:r>
    </w:p>
    <w:p w14:paraId="3800A210">
      <w:pPr>
        <w:pStyle w:val="10"/>
        <w:ind w:firstLine="620" w:firstLineChars="200"/>
        <w:rPr>
          <w:rFonts w:hint="eastAsia" w:asciiTheme="minorEastAsia" w:hAnsiTheme="minorEastAsia" w:cstheme="minorEastAsia"/>
          <w:color w:val="000000" w:themeColor="text1"/>
          <w:sz w:val="31"/>
          <w:szCs w:val="31"/>
          <w:lang w:bidi="ar"/>
          <w14:textFill>
            <w14:solidFill>
              <w14:schemeClr w14:val="tx1"/>
            </w14:solidFill>
          </w14:textFill>
        </w:rPr>
      </w:pPr>
      <w:r>
        <w:rPr>
          <w:rFonts w:hint="eastAsia" w:asciiTheme="minorEastAsia" w:hAnsiTheme="minorEastAsia" w:cstheme="minorEastAsia"/>
          <w:color w:val="000000" w:themeColor="text1"/>
          <w:sz w:val="31"/>
          <w:szCs w:val="31"/>
          <w:lang w:bidi="ar"/>
          <w14:textFill>
            <w14:solidFill>
              <w14:schemeClr w14:val="tx1"/>
            </w14:solidFill>
          </w14:textFill>
        </w:rPr>
        <w:t>（二）竖向交通出入口。鼓励各类独立设置的连通地上地下功能的出入口提高设计建设标准，包括但不限于车库出入口、人民防空地下室出入口、防火分区出入口等，该类建（构）筑物建筑面积折合的容积率不计入规划条件（土地出让合同）约定的容积率，不计入建筑密度。</w:t>
      </w:r>
    </w:p>
    <w:p w14:paraId="0B56202C">
      <w:pPr>
        <w:pStyle w:val="10"/>
        <w:widowControl/>
        <w:ind w:firstLine="620" w:firstLineChars="200"/>
        <w:jc w:val="left"/>
        <w:rPr>
          <w:rFonts w:hint="eastAsia" w:asciiTheme="minorEastAsia" w:hAnsiTheme="minorEastAsia" w:cstheme="minorEastAsia"/>
          <w:color w:val="000000" w:themeColor="text1"/>
          <w:sz w:val="31"/>
          <w:szCs w:val="31"/>
          <w:lang w:bidi="ar"/>
          <w14:textFill>
            <w14:solidFill>
              <w14:schemeClr w14:val="tx1"/>
            </w14:solidFill>
          </w14:textFill>
        </w:rPr>
      </w:pPr>
      <w:r>
        <w:rPr>
          <w:rFonts w:hint="eastAsia" w:asciiTheme="minorEastAsia" w:hAnsiTheme="minorEastAsia" w:cstheme="minorEastAsia"/>
          <w:color w:val="000000" w:themeColor="text1"/>
          <w:sz w:val="31"/>
          <w:szCs w:val="31"/>
          <w:lang w:bidi="ar"/>
          <w14:textFill>
            <w14:solidFill>
              <w14:schemeClr w14:val="tx1"/>
            </w14:solidFill>
          </w14:textFill>
        </w:rPr>
        <w:t>六、审批手续办理</w:t>
      </w:r>
    </w:p>
    <w:p w14:paraId="021D0218">
      <w:pPr>
        <w:widowControl/>
        <w:ind w:firstLine="620" w:firstLineChars="200"/>
        <w:jc w:val="left"/>
        <w:rPr>
          <w:rFonts w:hint="eastAsia" w:asciiTheme="minorEastAsia" w:hAnsiTheme="minorEastAsia" w:cstheme="minorEastAsia"/>
          <w:color w:val="000000" w:themeColor="text1"/>
          <w:kern w:val="0"/>
          <w:sz w:val="31"/>
          <w:szCs w:val="31"/>
          <w:lang w:bidi="ar"/>
          <w14:textFill>
            <w14:solidFill>
              <w14:schemeClr w14:val="tx1"/>
            </w14:solidFill>
          </w14:textFill>
        </w:rPr>
      </w:pPr>
      <w:r>
        <w:rPr>
          <w:rFonts w:hint="eastAsia" w:asciiTheme="minorEastAsia" w:hAnsiTheme="minorEastAsia" w:cstheme="minorEastAsia"/>
          <w:color w:val="000000" w:themeColor="text1"/>
          <w:kern w:val="0"/>
          <w:sz w:val="31"/>
          <w:szCs w:val="31"/>
          <w:lang w:bidi="ar"/>
          <w14:textFill>
            <w14:solidFill>
              <w14:schemeClr w14:val="tx1"/>
            </w14:solidFill>
          </w14:textFill>
        </w:rPr>
        <w:t>采用本《意见》创新举措的建设项目应当在建设工程规划许可佐证材料当中补充涉及创新内容专篇，详细表述创新举措使用位置和有关设计方案、建筑规模等有关内容，同时附加宣传和管理要求。</w:t>
      </w:r>
    </w:p>
    <w:p w14:paraId="2DE5F87C">
      <w:pPr>
        <w:widowControl/>
        <w:ind w:firstLine="620" w:firstLineChars="200"/>
        <w:jc w:val="left"/>
        <w:rPr>
          <w:rFonts w:hint="eastAsia" w:asciiTheme="minorEastAsia" w:hAnsiTheme="minorEastAsia" w:cstheme="minorEastAsia"/>
          <w:color w:val="000000" w:themeColor="text1"/>
          <w:kern w:val="0"/>
          <w:sz w:val="31"/>
          <w:szCs w:val="31"/>
          <w:lang w:bidi="ar"/>
          <w14:textFill>
            <w14:solidFill>
              <w14:schemeClr w14:val="tx1"/>
            </w14:solidFill>
          </w14:textFill>
        </w:rPr>
      </w:pPr>
      <w:r>
        <w:rPr>
          <w:rFonts w:hint="eastAsia" w:asciiTheme="minorEastAsia" w:hAnsiTheme="minorEastAsia" w:cstheme="minorEastAsia"/>
          <w:color w:val="000000" w:themeColor="text1"/>
          <w:kern w:val="0"/>
          <w:sz w:val="31"/>
          <w:szCs w:val="31"/>
          <w:lang w:bidi="ar"/>
          <w14:textFill>
            <w14:solidFill>
              <w14:schemeClr w14:val="tx1"/>
            </w14:solidFill>
          </w14:textFill>
        </w:rPr>
        <w:t>按照本意见设置的露台、开敞阳台等，体现在房产证附图中，其他公共部分产权登记按照现行规定执行。</w:t>
      </w:r>
    </w:p>
    <w:p w14:paraId="6A7A7581">
      <w:pPr>
        <w:widowControl/>
        <w:ind w:firstLine="620" w:firstLineChars="200"/>
        <w:jc w:val="left"/>
        <w:rPr>
          <w:rFonts w:hint="eastAsia"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color w:val="000000" w:themeColor="text1"/>
          <w:kern w:val="0"/>
          <w:sz w:val="31"/>
          <w:szCs w:val="31"/>
          <w:lang w:bidi="ar"/>
          <w14:textFill>
            <w14:solidFill>
              <w14:schemeClr w14:val="tx1"/>
            </w14:solidFill>
          </w14:textFill>
        </w:rPr>
        <w:t xml:space="preserve"> 七、加强监督管理工作 </w:t>
      </w:r>
    </w:p>
    <w:p w14:paraId="76FAB924">
      <w:pPr>
        <w:widowControl/>
        <w:ind w:firstLine="620" w:firstLineChars="200"/>
        <w:jc w:val="left"/>
        <w:rPr>
          <w:rFonts w:hint="eastAsia"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color w:val="000000" w:themeColor="text1"/>
          <w:kern w:val="0"/>
          <w:sz w:val="31"/>
          <w:szCs w:val="31"/>
          <w:lang w:bidi="ar"/>
          <w14:textFill>
            <w14:solidFill>
              <w14:schemeClr w14:val="tx1"/>
            </w14:solidFill>
          </w14:textFill>
        </w:rPr>
        <w:t xml:space="preserve">（一）项目实施主体应以提高建筑设计水平、提升建筑品质为原则，组织设计单位做好方案设计工作，不得通过潜伏设计为增加建筑面积、改变使用性质创造条件。本《意见》涉及的露台及开敞阳台等由项目实施主体负总责任，设计单位、施工单位、测绘单位按照相关规范设计、施工和测量，并对真实性、准确性、合规性各负其责。项目实施主体的失信行为将纳入工程建设项目审批信用管理信息平台，归集至天津市行政机关联合奖惩监管系统，按照“一处失信、处处受制”的原则实施联合惩戒。违法建设实物予以没收处置。 </w:t>
      </w:r>
    </w:p>
    <w:p w14:paraId="0B9D8DC5">
      <w:pPr>
        <w:widowControl/>
        <w:ind w:firstLine="620" w:firstLineChars="200"/>
        <w:jc w:val="left"/>
        <w:rPr>
          <w:rFonts w:hint="eastAsia"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color w:val="000000" w:themeColor="text1"/>
          <w:kern w:val="0"/>
          <w:sz w:val="31"/>
          <w:szCs w:val="31"/>
          <w:lang w:bidi="ar"/>
          <w14:textFill>
            <w14:solidFill>
              <w14:schemeClr w14:val="tx1"/>
            </w14:solidFill>
          </w14:textFill>
        </w:rPr>
        <w:t xml:space="preserve">（二）使用本《意见》进行开发建设的项目，规划方案审批通过后，同步至区住建委、属地综合执法部门备案，规划资源部门实行清单化管理，实施主体应当在施工场地主入口醒目处设置公告栏用于长期展示加盖规划审批部门业务专用章的规划总平面图，不得擅自取消。 </w:t>
      </w:r>
    </w:p>
    <w:p w14:paraId="3654836D">
      <w:pPr>
        <w:widowControl/>
        <w:ind w:firstLine="620" w:firstLineChars="200"/>
        <w:jc w:val="left"/>
        <w:rPr>
          <w:rFonts w:hint="eastAsia" w:asciiTheme="minorEastAsia" w:hAnsiTheme="minorEastAsia" w:cstheme="minorEastAsia"/>
          <w:color w:val="000000" w:themeColor="text1"/>
          <w:kern w:val="0"/>
          <w:sz w:val="31"/>
          <w:szCs w:val="31"/>
          <w:lang w:bidi="ar"/>
          <w14:textFill>
            <w14:solidFill>
              <w14:schemeClr w14:val="tx1"/>
            </w14:solidFill>
          </w14:textFill>
        </w:rPr>
      </w:pPr>
      <w:r>
        <w:rPr>
          <w:rFonts w:hint="eastAsia" w:asciiTheme="minorEastAsia" w:hAnsiTheme="minorEastAsia" w:cstheme="minorEastAsia"/>
          <w:color w:val="000000" w:themeColor="text1"/>
          <w:kern w:val="0"/>
          <w:sz w:val="31"/>
          <w:szCs w:val="31"/>
          <w:lang w:bidi="ar"/>
          <w14:textFill>
            <w14:solidFill>
              <w14:schemeClr w14:val="tx1"/>
            </w14:solidFill>
          </w14:textFill>
        </w:rPr>
        <w:t>（三）露台、开敞阳台是建筑整体形象的一部分，仅作为业主休憩休闲、观赏景色等活动场地，规划验收合格并投入使用后，由城市综合执法管理部门牵头住建、规划资源等部门定期组织检查，将建设项目纳入城市监管范围。房屋产权人不得私自对建筑结构进行改造，不可私搭乱建、改变其用途。</w:t>
      </w:r>
    </w:p>
    <w:p w14:paraId="6342C3AA">
      <w:pPr>
        <w:widowControl/>
        <w:ind w:firstLine="620" w:firstLineChars="200"/>
        <w:jc w:val="left"/>
        <w:rPr>
          <w:rFonts w:hint="eastAsia" w:asciiTheme="minorEastAsia" w:hAnsiTheme="minorEastAsia" w:cstheme="minorEastAsia"/>
          <w:color w:val="000000" w:themeColor="text1"/>
          <w:kern w:val="0"/>
          <w:sz w:val="31"/>
          <w:szCs w:val="31"/>
          <w:lang w:bidi="ar"/>
          <w14:textFill>
            <w14:solidFill>
              <w14:schemeClr w14:val="tx1"/>
            </w14:solidFill>
          </w14:textFill>
        </w:rPr>
      </w:pPr>
      <w:r>
        <w:rPr>
          <w:rFonts w:hint="eastAsia" w:asciiTheme="minorEastAsia" w:hAnsiTheme="minorEastAsia" w:cstheme="minorEastAsia"/>
          <w:color w:val="000000" w:themeColor="text1"/>
          <w:kern w:val="0"/>
          <w:sz w:val="31"/>
          <w:szCs w:val="31"/>
          <w:lang w:bidi="ar"/>
          <w14:textFill>
            <w14:solidFill>
              <w14:schemeClr w14:val="tx1"/>
            </w14:solidFill>
          </w14:textFill>
        </w:rPr>
        <w:t>为长期保障建筑立面效果和住宅空间品质，房地产开发企业与购房人签署房屋买卖合同时，应同步要求购房人签署规范使用承诺书，明确业主后期管理和维护义务，并及时将承诺书移交物业管理公司备案，作为物业管理公司后期监管的依据。物业服务企业负责对违法建设行为进行监督管理，负有劝阻、制止和上报的义务，劝阻制止无效的应及时向居民委员会、街道办事处（乡镇政府）或者有关部门报告。</w:t>
      </w:r>
    </w:p>
    <w:p w14:paraId="13592D26">
      <w:pPr>
        <w:widowControl/>
        <w:ind w:firstLine="620" w:firstLineChars="200"/>
        <w:jc w:val="left"/>
        <w:rPr>
          <w:rFonts w:hint="eastAsia" w:asciiTheme="minorEastAsia" w:hAnsiTheme="minorEastAsia" w:cstheme="minorEastAsia"/>
          <w:color w:val="000000" w:themeColor="text1"/>
          <w:kern w:val="0"/>
          <w:sz w:val="31"/>
          <w:szCs w:val="31"/>
          <w:lang w:bidi="ar"/>
          <w14:textFill>
            <w14:solidFill>
              <w14:schemeClr w14:val="tx1"/>
            </w14:solidFill>
          </w14:textFill>
        </w:rPr>
      </w:pPr>
      <w:r>
        <w:rPr>
          <w:rFonts w:hint="eastAsia" w:asciiTheme="minorEastAsia" w:hAnsiTheme="minorEastAsia" w:cstheme="minorEastAsia"/>
          <w:color w:val="000000" w:themeColor="text1"/>
          <w:kern w:val="0"/>
          <w:sz w:val="31"/>
          <w:szCs w:val="31"/>
          <w:lang w:bidi="ar"/>
          <w14:textFill>
            <w14:solidFill>
              <w14:schemeClr w14:val="tx1"/>
            </w14:solidFill>
          </w14:textFill>
        </w:rPr>
        <w:t>涉及其他违法违规建设行为按照《</w:t>
      </w:r>
      <w:r>
        <w:rPr>
          <w:rFonts w:asciiTheme="minorEastAsia" w:hAnsiTheme="minorEastAsia" w:cstheme="minorEastAsia"/>
          <w:color w:val="000000" w:themeColor="text1"/>
          <w:kern w:val="0"/>
          <w:sz w:val="31"/>
          <w:szCs w:val="31"/>
          <w:lang w:bidi="ar"/>
          <w14:textFill>
            <w14:solidFill>
              <w14:schemeClr w14:val="tx1"/>
            </w14:solidFill>
          </w14:textFill>
        </w:rPr>
        <w:t>天津市静海区人民政府印发静海区关于处理违法用地违法建设分工和责任追究的规定的通知</w:t>
      </w:r>
      <w:r>
        <w:rPr>
          <w:rFonts w:hint="eastAsia" w:asciiTheme="minorEastAsia" w:hAnsiTheme="minorEastAsia" w:cstheme="minorEastAsia"/>
          <w:color w:val="000000" w:themeColor="text1"/>
          <w:kern w:val="0"/>
          <w:sz w:val="31"/>
          <w:szCs w:val="31"/>
          <w:lang w:bidi="ar"/>
          <w14:textFill>
            <w14:solidFill>
              <w14:schemeClr w14:val="tx1"/>
            </w14:solidFill>
          </w14:textFill>
        </w:rPr>
        <w:t>》（</w:t>
      </w:r>
      <w:r>
        <w:rPr>
          <w:rFonts w:asciiTheme="minorEastAsia" w:hAnsiTheme="minorEastAsia" w:cstheme="minorEastAsia"/>
          <w:color w:val="000000" w:themeColor="text1"/>
          <w:kern w:val="0"/>
          <w:sz w:val="31"/>
          <w:szCs w:val="31"/>
          <w:lang w:bidi="ar"/>
          <w14:textFill>
            <w14:solidFill>
              <w14:schemeClr w14:val="tx1"/>
            </w14:solidFill>
          </w14:textFill>
        </w:rPr>
        <w:t>津静海政发〔202</w:t>
      </w:r>
      <w:r>
        <w:rPr>
          <w:rFonts w:hint="eastAsia" w:asciiTheme="minorEastAsia" w:hAnsiTheme="minorEastAsia" w:cstheme="minorEastAsia"/>
          <w:color w:val="000000" w:themeColor="text1"/>
          <w:kern w:val="0"/>
          <w:sz w:val="31"/>
          <w:szCs w:val="31"/>
          <w:lang w:bidi="ar"/>
          <w14:textFill>
            <w14:solidFill>
              <w14:schemeClr w14:val="tx1"/>
            </w14:solidFill>
          </w14:textFill>
        </w:rPr>
        <w:t>2</w:t>
      </w:r>
      <w:r>
        <w:rPr>
          <w:rFonts w:asciiTheme="minorEastAsia" w:hAnsiTheme="minorEastAsia" w:cstheme="minorEastAsia"/>
          <w:color w:val="000000" w:themeColor="text1"/>
          <w:kern w:val="0"/>
          <w:sz w:val="31"/>
          <w:szCs w:val="31"/>
          <w:lang w:bidi="ar"/>
          <w14:textFill>
            <w14:solidFill>
              <w14:schemeClr w14:val="tx1"/>
            </w14:solidFill>
          </w14:textFill>
        </w:rPr>
        <w:t>〕</w:t>
      </w:r>
      <w:r>
        <w:rPr>
          <w:rFonts w:hint="eastAsia" w:asciiTheme="minorEastAsia" w:hAnsiTheme="minorEastAsia" w:cstheme="minorEastAsia"/>
          <w:color w:val="000000" w:themeColor="text1"/>
          <w:kern w:val="0"/>
          <w:sz w:val="31"/>
          <w:szCs w:val="31"/>
          <w:lang w:bidi="ar"/>
          <w14:textFill>
            <w14:solidFill>
              <w14:schemeClr w14:val="tx1"/>
            </w14:solidFill>
          </w14:textFill>
        </w:rPr>
        <w:t>７</w:t>
      </w:r>
      <w:r>
        <w:rPr>
          <w:rFonts w:asciiTheme="minorEastAsia" w:hAnsiTheme="minorEastAsia" w:cstheme="minorEastAsia"/>
          <w:color w:val="000000" w:themeColor="text1"/>
          <w:kern w:val="0"/>
          <w:sz w:val="31"/>
          <w:szCs w:val="31"/>
          <w:lang w:bidi="ar"/>
          <w14:textFill>
            <w14:solidFill>
              <w14:schemeClr w14:val="tx1"/>
            </w14:solidFill>
          </w14:textFill>
        </w:rPr>
        <w:t>号</w:t>
      </w:r>
      <w:r>
        <w:rPr>
          <w:rFonts w:hint="eastAsia" w:asciiTheme="minorEastAsia" w:hAnsiTheme="minorEastAsia" w:cstheme="minorEastAsia"/>
          <w:color w:val="000000" w:themeColor="text1"/>
          <w:kern w:val="0"/>
          <w:sz w:val="31"/>
          <w:szCs w:val="31"/>
          <w:lang w:bidi="ar"/>
          <w14:textFill>
            <w14:solidFill>
              <w14:schemeClr w14:val="tx1"/>
            </w14:solidFill>
          </w14:textFill>
        </w:rPr>
        <w:t>）文件要求执行。</w:t>
      </w:r>
    </w:p>
    <w:p w14:paraId="5F25BCDB">
      <w:pPr>
        <w:widowControl/>
        <w:ind w:firstLine="620" w:firstLineChars="200"/>
        <w:jc w:val="left"/>
        <w:rPr>
          <w:rFonts w:hint="eastAsia" w:asciiTheme="minorEastAsia" w:hAnsiTheme="minorEastAsia" w:cstheme="minorEastAsia"/>
          <w:color w:val="000000" w:themeColor="text1"/>
          <w:kern w:val="0"/>
          <w:sz w:val="31"/>
          <w:szCs w:val="31"/>
          <w:lang w:bidi="ar"/>
          <w14:textFill>
            <w14:solidFill>
              <w14:schemeClr w14:val="tx1"/>
            </w14:solidFill>
          </w14:textFill>
        </w:rPr>
      </w:pPr>
      <w:r>
        <w:rPr>
          <w:rFonts w:hint="eastAsia" w:asciiTheme="minorEastAsia" w:hAnsiTheme="minorEastAsia" w:cstheme="minorEastAsia"/>
          <w:color w:val="000000" w:themeColor="text1"/>
          <w:kern w:val="0"/>
          <w:sz w:val="31"/>
          <w:szCs w:val="31"/>
          <w:lang w:bidi="ar"/>
          <w14:textFill>
            <w14:solidFill>
              <w14:schemeClr w14:val="tx1"/>
            </w14:solidFill>
          </w14:textFill>
        </w:rPr>
        <w:t>（四）如建设项目设置露台及开敞阳台等。执法单位应严格管理，对违规私搭乱建不配合处理的个人、单位及施工装修主体可从但不限于个人征信、产权交易等方面予以限制。</w:t>
      </w:r>
    </w:p>
    <w:p w14:paraId="45CB0449">
      <w:pPr>
        <w:widowControl/>
        <w:ind w:firstLine="620" w:firstLineChars="200"/>
        <w:jc w:val="left"/>
        <w:rPr>
          <w:rFonts w:hint="eastAsia"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color w:val="000000" w:themeColor="text1"/>
          <w:kern w:val="0"/>
          <w:sz w:val="31"/>
          <w:szCs w:val="31"/>
          <w:lang w:bidi="ar"/>
          <w14:textFill>
            <w14:solidFill>
              <w14:schemeClr w14:val="tx1"/>
            </w14:solidFill>
          </w14:textFill>
        </w:rPr>
        <w:t xml:space="preserve">（五）除本《意见》规定内容外，其他涉及住宅多样性空间增值利用的，还应符合市规划资源局有关多样性空间增值利用有关要求。 </w:t>
      </w:r>
    </w:p>
    <w:p w14:paraId="18703F7C">
      <w:pPr>
        <w:widowControl/>
        <w:ind w:firstLine="620" w:firstLineChars="200"/>
        <w:jc w:val="left"/>
        <w:rPr>
          <w:rFonts w:hint="eastAsia" w:asciiTheme="minorEastAsia" w:hAnsiTheme="minorEastAsia" w:cstheme="minorEastAsia"/>
          <w:color w:val="000000" w:themeColor="text1"/>
          <w:kern w:val="0"/>
          <w:sz w:val="31"/>
          <w:szCs w:val="31"/>
          <w:lang w:bidi="ar"/>
          <w14:textFill>
            <w14:solidFill>
              <w14:schemeClr w14:val="tx1"/>
            </w14:solidFill>
          </w14:textFill>
        </w:rPr>
      </w:pPr>
      <w:r>
        <w:rPr>
          <w:rFonts w:hint="eastAsia" w:asciiTheme="minorEastAsia" w:hAnsiTheme="minorEastAsia" w:cstheme="minorEastAsia"/>
          <w:color w:val="000000" w:themeColor="text1"/>
          <w:kern w:val="0"/>
          <w:sz w:val="31"/>
          <w:szCs w:val="31"/>
          <w:lang w:bidi="ar"/>
          <w14:textFill>
            <w14:solidFill>
              <w14:schemeClr w14:val="tx1"/>
            </w14:solidFill>
          </w14:textFill>
        </w:rPr>
        <w:t xml:space="preserve">（六）规划资源管理部门应当定期对采用《意见》有关创新举措的建设项目进行统计梳理、统计，加强监督和指导。 </w:t>
      </w:r>
    </w:p>
    <w:p w14:paraId="25403F28">
      <w:pPr>
        <w:widowControl/>
        <w:ind w:firstLine="620" w:firstLineChars="200"/>
        <w:jc w:val="left"/>
        <w:rPr>
          <w:rFonts w:hint="eastAsia" w:asciiTheme="minorEastAsia" w:hAnsiTheme="minorEastAsia" w:cstheme="minorEastAsia"/>
          <w:color w:val="000000" w:themeColor="text1"/>
          <w:kern w:val="0"/>
          <w:sz w:val="31"/>
          <w:szCs w:val="31"/>
          <w:lang w:bidi="ar"/>
          <w14:textFill>
            <w14:solidFill>
              <w14:schemeClr w14:val="tx1"/>
            </w14:solidFill>
          </w14:textFill>
        </w:rPr>
      </w:pPr>
      <w:r>
        <w:rPr>
          <w:rFonts w:hint="eastAsia" w:asciiTheme="minorEastAsia" w:hAnsiTheme="minorEastAsia" w:cstheme="minorEastAsia"/>
          <w:color w:val="000000" w:themeColor="text1"/>
          <w:kern w:val="0"/>
          <w:sz w:val="31"/>
          <w:szCs w:val="31"/>
          <w:lang w:bidi="ar"/>
          <w14:textFill>
            <w14:solidFill>
              <w14:schemeClr w14:val="tx1"/>
            </w14:solidFill>
          </w14:textFill>
        </w:rPr>
        <w:t>本意见自发布之日起在静海区范围内试行，试行期一年。如试用期内相关条款出台最新政策，按最新政策执行。</w:t>
      </w:r>
    </w:p>
    <w:p w14:paraId="2CC3A378">
      <w:pPr>
        <w:widowControl/>
        <w:jc w:val="center"/>
        <w:rPr>
          <w:rFonts w:hint="eastAsia" w:asciiTheme="minorEastAsia" w:hAnsiTheme="minorEastAsia" w:cstheme="minorEastAsia"/>
          <w:color w:val="000000" w:themeColor="text1"/>
          <w:kern w:val="0"/>
          <w:sz w:val="31"/>
          <w:szCs w:val="31"/>
          <w:lang w:bidi="ar"/>
          <w14:textFill>
            <w14:solidFill>
              <w14:schemeClr w14:val="tx1"/>
            </w14:solidFill>
          </w14:textFill>
        </w:rPr>
      </w:pPr>
      <w:r>
        <w:rPr>
          <w:rFonts w:hint="eastAsia" w:asciiTheme="majorEastAsia" w:hAnsiTheme="majorEastAsia" w:eastAsiaTheme="majorEastAsia" w:cstheme="majorEastAsia"/>
          <w:color w:val="000000" w:themeColor="text1"/>
          <w:kern w:val="0"/>
          <w:sz w:val="43"/>
          <w:szCs w:val="43"/>
          <w:lang w:bidi="ar"/>
          <w14:textFill>
            <w14:solidFill>
              <w14:schemeClr w14:val="tx1"/>
            </w14:solidFill>
          </w14:textFill>
        </w:rPr>
        <w:t>相关说明及图示</w:t>
      </w:r>
    </w:p>
    <w:p w14:paraId="68630670">
      <w:pPr>
        <w:pStyle w:val="12"/>
        <w:widowControl/>
        <w:ind w:firstLine="620"/>
        <w:jc w:val="left"/>
        <w:rPr>
          <w:rFonts w:hint="eastAsia" w:asciiTheme="minorEastAsia" w:hAnsiTheme="minorEastAsia" w:cstheme="minorEastAsia"/>
          <w:color w:val="000000" w:themeColor="text1"/>
          <w:kern w:val="0"/>
          <w:sz w:val="31"/>
          <w:szCs w:val="31"/>
          <w:lang w:bidi="ar"/>
          <w14:textFill>
            <w14:solidFill>
              <w14:schemeClr w14:val="tx1"/>
            </w14:solidFill>
          </w14:textFill>
        </w:rPr>
      </w:pPr>
      <w:r>
        <w:rPr>
          <w:rFonts w:hint="eastAsia" w:asciiTheme="minorEastAsia" w:hAnsiTheme="minorEastAsia" w:cstheme="minorEastAsia"/>
          <w:color w:val="000000" w:themeColor="text1"/>
          <w:kern w:val="0"/>
          <w:sz w:val="31"/>
          <w:szCs w:val="31"/>
          <w:lang w:bidi="ar"/>
          <w14:textFill>
            <w14:solidFill>
              <w14:schemeClr w14:val="tx1"/>
            </w14:solidFill>
          </w14:textFill>
        </w:rPr>
        <w:t>一、支持居住建筑充分利用露台空间</w:t>
      </w:r>
    </w:p>
    <w:p w14:paraId="39FADA58">
      <w:pPr>
        <w:pStyle w:val="12"/>
        <w:widowControl/>
        <w:ind w:firstLine="1240" w:firstLineChars="400"/>
        <w:jc w:val="left"/>
        <w:rPr>
          <w:rFonts w:hint="eastAsia" w:asciiTheme="minorEastAsia" w:hAnsiTheme="minorEastAsia" w:cstheme="minorEastAsia"/>
          <w:color w:val="000000" w:themeColor="text1"/>
          <w:kern w:val="0"/>
          <w:sz w:val="31"/>
          <w:szCs w:val="31"/>
          <w:lang w:bidi="ar"/>
          <w14:textFill>
            <w14:solidFill>
              <w14:schemeClr w14:val="tx1"/>
            </w14:solidFill>
          </w14:textFill>
        </w:rPr>
      </w:pPr>
      <w:r>
        <w:rPr>
          <w:rFonts w:hint="eastAsia" w:asciiTheme="minorEastAsia" w:hAnsiTheme="minorEastAsia" w:cstheme="minorEastAsia"/>
          <w:color w:val="000000" w:themeColor="text1"/>
          <w:kern w:val="0"/>
          <w:sz w:val="31"/>
          <w:szCs w:val="31"/>
          <w:lang w:bidi="ar"/>
          <w14:textFill>
            <w14:solidFill>
              <w14:schemeClr w14:val="tx1"/>
            </w14:solidFill>
          </w14:textFill>
        </w:rPr>
        <w:t>退台形式：</w:t>
      </w:r>
    </w:p>
    <w:p w14:paraId="67972BC5">
      <w:pPr>
        <w:pStyle w:val="12"/>
        <w:widowControl/>
        <w:ind w:left="1250"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0" distR="0">
            <wp:extent cx="2406015" cy="1845310"/>
            <wp:effectExtent l="0" t="0" r="0" b="0"/>
            <wp:docPr id="2" name="图片 2" descr="F:\WeChat Files\WeChat Files\wxid_j26g8h1yn80d12\FileStorage\Temp\26692c606c75343d5230fa7e2c77c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WeChat Files\WeChat Files\wxid_j26g8h1yn80d12\FileStorage\Temp\26692c606c75343d5230fa7e2c77c06.jpg"/>
                    <pic:cNvPicPr>
                      <a:picLocks noChangeAspect="1" noChangeArrowheads="1"/>
                    </pic:cNvPicPr>
                  </pic:nvPicPr>
                  <pic:blipFill>
                    <a:blip r:embed="rId5" cstate="print">
                      <a:clrChange>
                        <a:clrFrom>
                          <a:srgbClr val="FFFFFF">
                            <a:alpha val="100000"/>
                          </a:srgbClr>
                        </a:clrFrom>
                        <a:clrTo>
                          <a:srgbClr val="FFFFFF">
                            <a:alpha val="100000"/>
                            <a:alpha val="0"/>
                          </a:srgbClr>
                        </a:clrTo>
                      </a:clrChange>
                      <a:extLst>
                        <a:ext uri="{28A0092B-C50C-407E-A947-70E740481C1C}">
                          <a14:useLocalDpi xmlns:a14="http://schemas.microsoft.com/office/drawing/2010/main" val="0"/>
                        </a:ext>
                      </a:extLst>
                    </a:blip>
                    <a:srcRect l="15707" t="9430" r="38652" b="12964"/>
                    <a:stretch>
                      <a:fillRect/>
                    </a:stretch>
                  </pic:blipFill>
                  <pic:spPr>
                    <a:xfrm>
                      <a:off x="0" y="0"/>
                      <a:ext cx="2407257" cy="1846473"/>
                    </a:xfrm>
                    <a:prstGeom prst="rect">
                      <a:avLst/>
                    </a:prstGeom>
                    <a:noFill/>
                    <a:ln>
                      <a:noFill/>
                    </a:ln>
                  </pic:spPr>
                </pic:pic>
              </a:graphicData>
            </a:graphic>
          </wp:inline>
        </w:drawing>
      </w:r>
    </w:p>
    <w:p w14:paraId="2D77218C">
      <w:pPr>
        <w:pStyle w:val="12"/>
        <w:widowControl/>
        <w:ind w:left="1250" w:firstLine="0" w:firstLineChars="0"/>
        <w:jc w:val="left"/>
        <w:rPr>
          <w:rFonts w:hint="eastAsia" w:asciiTheme="minorEastAsia" w:hAnsiTheme="minorEastAsia" w:cstheme="minorEastAsia"/>
          <w:color w:val="000000" w:themeColor="text1"/>
          <w:kern w:val="0"/>
          <w:sz w:val="31"/>
          <w:szCs w:val="31"/>
          <w:lang w:bidi="ar"/>
          <w14:textFill>
            <w14:solidFill>
              <w14:schemeClr w14:val="tx1"/>
            </w14:solidFill>
          </w14:textFill>
        </w:rPr>
      </w:pPr>
      <w:r>
        <w:rPr>
          <w:rFonts w:hint="eastAsia" w:asciiTheme="minorEastAsia" w:hAnsiTheme="minorEastAsia" w:cstheme="minorEastAsia"/>
          <w:color w:val="000000" w:themeColor="text1"/>
          <w:kern w:val="0"/>
          <w:sz w:val="31"/>
          <w:szCs w:val="31"/>
          <w:lang w:bidi="ar"/>
          <w14:textFill>
            <w14:solidFill>
              <w14:schemeClr w14:val="tx1"/>
            </w14:solidFill>
          </w14:textFill>
        </w:rPr>
        <w:t>错层阳台：</w:t>
      </w:r>
    </w:p>
    <w:p w14:paraId="4E4ED0CC">
      <w:pPr>
        <w:pStyle w:val="12"/>
        <w:widowControl/>
        <w:ind w:left="1250"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338445" cy="17741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cstate="print">
                      <a:clrChange>
                        <a:clrFrom>
                          <a:srgbClr val="FFFFFF">
                            <a:alpha val="100000"/>
                          </a:srgbClr>
                        </a:clrFrom>
                        <a:clrTo>
                          <a:srgbClr val="FFFFFF">
                            <a:alpha val="100000"/>
                            <a:alpha val="0"/>
                          </a:srgbClr>
                        </a:clrTo>
                      </a:clrChange>
                      <a:extLst>
                        <a:ext uri="{28A0092B-C50C-407E-A947-70E740481C1C}">
                          <a14:useLocalDpi xmlns:a14="http://schemas.microsoft.com/office/drawing/2010/main" val="0"/>
                        </a:ext>
                      </a:extLst>
                    </a:blip>
                    <a:srcRect l="7246" t="58358" r="26483" b="12281"/>
                    <a:stretch>
                      <a:fillRect/>
                    </a:stretch>
                  </pic:blipFill>
                  <pic:spPr>
                    <a:xfrm>
                      <a:off x="0" y="0"/>
                      <a:ext cx="5372796" cy="1785496"/>
                    </a:xfrm>
                    <a:prstGeom prst="rect">
                      <a:avLst/>
                    </a:prstGeom>
                    <a:ln>
                      <a:noFill/>
                    </a:ln>
                  </pic:spPr>
                </pic:pic>
              </a:graphicData>
            </a:graphic>
          </wp:inline>
        </w:drawing>
      </w:r>
    </w:p>
    <w:p w14:paraId="40AD1340">
      <w:pPr>
        <w:pStyle w:val="12"/>
        <w:widowControl/>
        <w:ind w:left="1250" w:firstLine="0" w:firstLineChars="0"/>
        <w:jc w:val="left"/>
        <w:rPr>
          <w:color w:val="000000" w:themeColor="text1"/>
          <w14:textFill>
            <w14:solidFill>
              <w14:schemeClr w14:val="tx1"/>
            </w14:solidFill>
          </w14:textFill>
        </w:rPr>
      </w:pPr>
    </w:p>
    <w:p w14:paraId="4AC862BA">
      <w:pPr>
        <w:pStyle w:val="12"/>
        <w:widowControl/>
        <w:ind w:left="1250" w:firstLine="0" w:firstLineChars="0"/>
        <w:jc w:val="left"/>
        <w:rPr>
          <w:color w:val="000000" w:themeColor="text1"/>
          <w14:textFill>
            <w14:solidFill>
              <w14:schemeClr w14:val="tx1"/>
            </w14:solidFill>
          </w14:textFill>
        </w:rPr>
      </w:pPr>
    </w:p>
    <w:p w14:paraId="048069AB">
      <w:pPr>
        <w:widowControl/>
        <w:ind w:left="1250"/>
        <w:jc w:val="left"/>
        <w:rPr>
          <w:rFonts w:hint="eastAsia" w:asciiTheme="minorEastAsia" w:hAnsiTheme="minorEastAsia" w:cstheme="minorEastAsia"/>
          <w:color w:val="000000" w:themeColor="text1"/>
          <w:kern w:val="0"/>
          <w:sz w:val="31"/>
          <w:szCs w:val="31"/>
          <w:lang w:bidi="ar"/>
          <w14:textFill>
            <w14:solidFill>
              <w14:schemeClr w14:val="tx1"/>
            </w14:solidFill>
          </w14:textFill>
        </w:rPr>
      </w:pPr>
      <w:r>
        <w:rPr>
          <w:rFonts w:hint="eastAsia" w:asciiTheme="minorEastAsia" w:hAnsiTheme="minorEastAsia" w:cstheme="minorEastAsia"/>
          <w:color w:val="000000" w:themeColor="text1"/>
          <w:kern w:val="0"/>
          <w:sz w:val="31"/>
          <w:szCs w:val="31"/>
          <w:lang w:bidi="ar"/>
          <w14:textFill>
            <w14:solidFill>
              <w14:schemeClr w14:val="tx1"/>
            </w14:solidFill>
          </w14:textFill>
        </w:rPr>
        <w:t>屋顶露台：</w:t>
      </w:r>
    </w:p>
    <w:p w14:paraId="4D626E68">
      <w:pPr>
        <w:pStyle w:val="12"/>
        <w:widowControl/>
        <w:ind w:left="1250"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3804920" cy="23571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clrChange>
                        <a:clrFrom>
                          <a:srgbClr val="FFFDFF">
                            <a:alpha val="100000"/>
                          </a:srgbClr>
                        </a:clrFrom>
                        <a:clrTo>
                          <a:srgbClr val="FFFDFF">
                            <a:alpha val="100000"/>
                            <a:alpha val="0"/>
                          </a:srgbClr>
                        </a:clrTo>
                      </a:clrChange>
                      <a:extLst>
                        <a:ext uri="{28A0092B-C50C-407E-A947-70E740481C1C}">
                          <a14:useLocalDpi xmlns:a14="http://schemas.microsoft.com/office/drawing/2010/main" val="0"/>
                        </a:ext>
                      </a:extLst>
                    </a:blip>
                    <a:srcRect l="54715" t="23563" r="1249" b="40068"/>
                    <a:stretch>
                      <a:fillRect/>
                    </a:stretch>
                  </pic:blipFill>
                  <pic:spPr>
                    <a:xfrm>
                      <a:off x="0" y="0"/>
                      <a:ext cx="3827345" cy="2371039"/>
                    </a:xfrm>
                    <a:prstGeom prst="rect">
                      <a:avLst/>
                    </a:prstGeom>
                    <a:ln>
                      <a:noFill/>
                    </a:ln>
                  </pic:spPr>
                </pic:pic>
              </a:graphicData>
            </a:graphic>
          </wp:inline>
        </w:drawing>
      </w:r>
    </w:p>
    <w:p w14:paraId="543268D7">
      <w:pPr>
        <w:pStyle w:val="12"/>
        <w:widowControl/>
        <w:ind w:firstLine="600"/>
        <w:jc w:val="left"/>
        <w:rPr>
          <w:rFonts w:hint="eastAsia" w:asciiTheme="minorEastAsia" w:hAnsiTheme="minorEastAsia" w:cstheme="minorEastAsia"/>
          <w:color w:val="000000" w:themeColor="text1"/>
          <w:kern w:val="0"/>
          <w:sz w:val="30"/>
          <w:szCs w:val="30"/>
          <w:lang w:bidi="ar"/>
          <w14:textFill>
            <w14:solidFill>
              <w14:schemeClr w14:val="tx1"/>
            </w14:solidFill>
          </w14:textFill>
        </w:rPr>
      </w:pPr>
      <w:r>
        <w:rPr>
          <w:rFonts w:hint="eastAsia" w:asciiTheme="minorEastAsia" w:hAnsiTheme="minorEastAsia" w:cstheme="minorEastAsia"/>
          <w:color w:val="000000" w:themeColor="text1"/>
          <w:kern w:val="0"/>
          <w:sz w:val="30"/>
          <w:szCs w:val="30"/>
          <w:lang w:bidi="ar"/>
          <w14:textFill>
            <w14:solidFill>
              <w14:schemeClr w14:val="tx1"/>
            </w14:solidFill>
          </w14:textFill>
        </w:rPr>
        <w:t>二、多层居住建筑可增设套内共享空间，提高住宅类建筑设计品质</w:t>
      </w:r>
    </w:p>
    <w:p w14:paraId="2CECF0E0">
      <w:pPr>
        <w:pStyle w:val="12"/>
        <w:widowControl/>
        <w:ind w:left="1250"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3978910" cy="18808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cstate="print">
                      <a:clrChange>
                        <a:clrFrom>
                          <a:srgbClr val="FFFFFF">
                            <a:alpha val="100000"/>
                          </a:srgbClr>
                        </a:clrFrom>
                        <a:clrTo>
                          <a:srgbClr val="FFFFFF">
                            <a:alpha val="100000"/>
                            <a:alpha val="0"/>
                          </a:srgbClr>
                        </a:clrTo>
                      </a:clrChange>
                      <a:extLst>
                        <a:ext uri="{28A0092B-C50C-407E-A947-70E740481C1C}">
                          <a14:useLocalDpi xmlns:a14="http://schemas.microsoft.com/office/drawing/2010/main" val="0"/>
                        </a:ext>
                      </a:extLst>
                    </a:blip>
                    <a:srcRect l="14913" t="8280" r="16584" b="48539"/>
                    <a:stretch>
                      <a:fillRect/>
                    </a:stretch>
                  </pic:blipFill>
                  <pic:spPr>
                    <a:xfrm>
                      <a:off x="0" y="0"/>
                      <a:ext cx="3978910" cy="1880870"/>
                    </a:xfrm>
                    <a:prstGeom prst="rect">
                      <a:avLst/>
                    </a:prstGeom>
                    <a:ln>
                      <a:noFill/>
                    </a:ln>
                  </pic:spPr>
                </pic:pic>
              </a:graphicData>
            </a:graphic>
          </wp:inline>
        </w:drawing>
      </w:r>
    </w:p>
    <w:p w14:paraId="18E18304">
      <w:pPr>
        <w:widowControl/>
        <w:ind w:firstLine="600" w:firstLineChars="200"/>
        <w:jc w:val="left"/>
        <w:rPr>
          <w:rFonts w:hint="eastAsia" w:asciiTheme="minorEastAsia" w:hAnsiTheme="minorEastAsia" w:cstheme="minorEastAsia"/>
          <w:color w:val="000000" w:themeColor="text1"/>
          <w:kern w:val="0"/>
          <w:sz w:val="30"/>
          <w:szCs w:val="30"/>
          <w:lang w:bidi="ar"/>
          <w14:textFill>
            <w14:solidFill>
              <w14:schemeClr w14:val="tx1"/>
            </w14:solidFill>
          </w14:textFill>
        </w:rPr>
      </w:pPr>
    </w:p>
    <w:p w14:paraId="1E6BE86D">
      <w:pPr>
        <w:pStyle w:val="12"/>
        <w:widowControl/>
        <w:ind w:firstLine="620"/>
        <w:jc w:val="left"/>
        <w:rPr>
          <w:rFonts w:hint="eastAsia" w:asciiTheme="minorEastAsia" w:hAnsiTheme="minorEastAsia" w:cstheme="minorEastAsia"/>
          <w:color w:val="000000" w:themeColor="text1"/>
          <w:kern w:val="0"/>
          <w:sz w:val="31"/>
          <w:szCs w:val="31"/>
          <w:lang w:bidi="ar"/>
          <w14:textFill>
            <w14:solidFill>
              <w14:schemeClr w14:val="tx1"/>
            </w14:solidFill>
          </w14:textFill>
        </w:rPr>
      </w:pPr>
      <w:r>
        <w:rPr>
          <w:rFonts w:hint="eastAsia" w:asciiTheme="minorEastAsia" w:hAnsiTheme="minorEastAsia" w:cstheme="minorEastAsia"/>
          <w:color w:val="000000" w:themeColor="text1"/>
          <w:kern w:val="0"/>
          <w:sz w:val="31"/>
          <w:szCs w:val="31"/>
          <w:lang w:bidi="ar"/>
          <w14:textFill>
            <w14:solidFill>
              <w14:schemeClr w14:val="tx1"/>
            </w14:solidFill>
          </w14:textFill>
        </w:rPr>
        <w:t>三、以惠民为原则，鼓励住宅建筑设置开敞阳台，提升居住品质</w:t>
      </w:r>
    </w:p>
    <w:p w14:paraId="2CC06B60">
      <w:pPr>
        <w:pStyle w:val="12"/>
        <w:widowControl/>
        <w:ind w:firstLine="620"/>
        <w:jc w:val="left"/>
        <w:rPr>
          <w:rFonts w:hint="eastAsia" w:asciiTheme="minorEastAsia" w:hAnsiTheme="minorEastAsia" w:cstheme="minorEastAsia"/>
          <w:color w:val="000000" w:themeColor="text1"/>
          <w:kern w:val="0"/>
          <w:sz w:val="31"/>
          <w:szCs w:val="31"/>
          <w:lang w:bidi="ar"/>
          <w14:textFill>
            <w14:solidFill>
              <w14:schemeClr w14:val="tx1"/>
            </w14:solidFill>
          </w14:textFill>
        </w:rPr>
      </w:pPr>
      <w:r>
        <w:rPr>
          <w:rFonts w:hint="eastAsia" w:asciiTheme="minorEastAsia" w:hAnsiTheme="minorEastAsia" w:cstheme="minorEastAsia"/>
          <w:color w:val="000000" w:themeColor="text1"/>
          <w:kern w:val="0"/>
          <w:sz w:val="31"/>
          <w:szCs w:val="31"/>
          <w:lang w:bidi="ar"/>
          <w14:textFill>
            <w14:solidFill>
              <w14:schemeClr w14:val="tx1"/>
            </w14:solidFill>
          </w14:textFill>
        </w:rPr>
        <w:t>1、设置原则:凸出主体结构，且不影响套内使用空间阳台面积比例等需满足多样性相关政策要求、开敞阳台严禁封闭</w:t>
      </w:r>
    </w:p>
    <w:p w14:paraId="6CE40A2E">
      <w:pPr>
        <w:pStyle w:val="12"/>
        <w:widowControl/>
        <w:ind w:firstLine="620"/>
        <w:jc w:val="left"/>
        <w:rPr>
          <w:rFonts w:hint="eastAsia" w:asciiTheme="minorEastAsia" w:hAnsiTheme="minorEastAsia" w:cstheme="minorEastAsia"/>
          <w:color w:val="000000" w:themeColor="text1"/>
          <w:kern w:val="0"/>
          <w:sz w:val="31"/>
          <w:szCs w:val="31"/>
          <w:lang w:bidi="ar"/>
          <w14:textFill>
            <w14:solidFill>
              <w14:schemeClr w14:val="tx1"/>
            </w14:solidFill>
          </w14:textFill>
        </w:rPr>
      </w:pPr>
      <w:r>
        <w:rPr>
          <w:rFonts w:hint="eastAsia" w:asciiTheme="minorEastAsia" w:hAnsiTheme="minorEastAsia" w:cstheme="minorEastAsia"/>
          <w:color w:val="000000" w:themeColor="text1"/>
          <w:kern w:val="0"/>
          <w:sz w:val="31"/>
          <w:szCs w:val="31"/>
          <w:lang w:bidi="ar"/>
          <w14:textFill>
            <w14:solidFill>
              <w14:schemeClr w14:val="tx1"/>
            </w14:solidFill>
          </w14:textFill>
        </w:rPr>
        <w:t>2、面积计算原则：</w:t>
      </w:r>
      <w:r>
        <w:rPr>
          <w:rFonts w:hint="eastAsia" w:asciiTheme="minorEastAsia" w:hAnsiTheme="minorEastAsia" w:cstheme="minorEastAsia"/>
          <w:color w:val="000000" w:themeColor="text1"/>
          <w:kern w:val="0"/>
          <w:sz w:val="31"/>
          <w:szCs w:val="31"/>
          <w:shd w:val="clear" w:color="auto" w:fill="FFFFFF"/>
          <w:lang w:bidi="ar"/>
          <w14:textFill>
            <w14:solidFill>
              <w14:schemeClr w14:val="tx1"/>
            </w14:solidFill>
          </w14:textFill>
        </w:rPr>
        <w:t>阳台建筑面积应按围护设施外表面所围空间水平投影面积的</w:t>
      </w:r>
      <w:r>
        <w:rPr>
          <w:rFonts w:asciiTheme="minorEastAsia" w:hAnsiTheme="minorEastAsia" w:cstheme="minorEastAsia"/>
          <w:color w:val="000000" w:themeColor="text1"/>
          <w:kern w:val="0"/>
          <w:sz w:val="31"/>
          <w:szCs w:val="31"/>
          <w:shd w:val="clear" w:color="auto" w:fill="FFFFFF"/>
          <w:lang w:bidi="ar"/>
          <w14:textFill>
            <w14:solidFill>
              <w14:schemeClr w14:val="tx1"/>
            </w14:solidFill>
          </w14:textFill>
        </w:rPr>
        <w:t>1/2</w:t>
      </w:r>
      <w:r>
        <w:rPr>
          <w:rFonts w:hint="eastAsia" w:asciiTheme="minorEastAsia" w:hAnsiTheme="minorEastAsia" w:cstheme="minorEastAsia"/>
          <w:color w:val="000000" w:themeColor="text1"/>
          <w:kern w:val="0"/>
          <w:sz w:val="31"/>
          <w:szCs w:val="31"/>
          <w:shd w:val="clear" w:color="auto" w:fill="FFFFFF"/>
          <w:lang w:bidi="ar"/>
          <w14:textFill>
            <w14:solidFill>
              <w14:schemeClr w14:val="tx1"/>
            </w14:solidFill>
          </w14:textFill>
        </w:rPr>
        <w:t>计算；当阳台封闭时，应按其外围护结构外表面所围空间的水平投影面积计算。</w:t>
      </w:r>
      <w:r>
        <w:rPr>
          <w:rFonts w:hint="eastAsia"/>
          <w:color w:val="000000" w:themeColor="text1"/>
          <w14:textFill>
            <w14:solidFill>
              <w14:schemeClr w14:val="tx1"/>
            </w14:solidFill>
          </w14:textFill>
        </w:rPr>
        <w:drawing>
          <wp:inline distT="0" distB="0" distL="0" distR="0">
            <wp:extent cx="5214620" cy="27432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cstate="print">
                      <a:clrChange>
                        <a:clrFrom>
                          <a:srgbClr val="FFFFFF">
                            <a:alpha val="100000"/>
                          </a:srgbClr>
                        </a:clrFrom>
                        <a:clrTo>
                          <a:srgbClr val="FFFFFF">
                            <a:alpha val="100000"/>
                            <a:alpha val="0"/>
                          </a:srgbClr>
                        </a:clrTo>
                      </a:clrChange>
                      <a:extLst>
                        <a:ext uri="{28A0092B-C50C-407E-A947-70E740481C1C}">
                          <a14:useLocalDpi xmlns:a14="http://schemas.microsoft.com/office/drawing/2010/main" val="0"/>
                        </a:ext>
                      </a:extLst>
                    </a:blip>
                    <a:srcRect t="45193" r="35300" b="9430"/>
                    <a:stretch>
                      <a:fillRect/>
                    </a:stretch>
                  </pic:blipFill>
                  <pic:spPr>
                    <a:xfrm>
                      <a:off x="0" y="0"/>
                      <a:ext cx="5239913" cy="2756494"/>
                    </a:xfrm>
                    <a:prstGeom prst="rect">
                      <a:avLst/>
                    </a:prstGeom>
                    <a:ln>
                      <a:noFill/>
                    </a:ln>
                  </pic:spPr>
                </pic:pic>
              </a:graphicData>
            </a:graphic>
          </wp:inline>
        </w:drawing>
      </w:r>
      <w:r>
        <w:rPr>
          <w:rFonts w:hint="eastAsia"/>
          <w:color w:val="000000" w:themeColor="text1"/>
          <w14:textFill>
            <w14:solidFill>
              <w14:schemeClr w14:val="tx1"/>
            </w14:solidFill>
          </w14:textFill>
        </w:rPr>
        <w:drawing>
          <wp:inline distT="0" distB="0" distL="0" distR="0">
            <wp:extent cx="2615565" cy="2345690"/>
            <wp:effectExtent l="0" t="0" r="0" b="165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clrChange>
                        <a:clrFrom>
                          <a:srgbClr val="FFFFFF">
                            <a:alpha val="100000"/>
                          </a:srgbClr>
                        </a:clrFrom>
                        <a:clrTo>
                          <a:srgbClr val="FFFFFF">
                            <a:alpha val="100000"/>
                            <a:alpha val="0"/>
                          </a:srgbClr>
                        </a:clrTo>
                      </a:clrChange>
                      <a:extLst>
                        <a:ext uri="{28A0092B-C50C-407E-A947-70E740481C1C}">
                          <a14:useLocalDpi xmlns:a14="http://schemas.microsoft.com/office/drawing/2010/main" val="0"/>
                        </a:ext>
                      </a:extLst>
                    </a:blip>
                    <a:srcRect l="64301" t="52884" r="1586" b="6324"/>
                    <a:stretch>
                      <a:fillRect/>
                    </a:stretch>
                  </pic:blipFill>
                  <pic:spPr>
                    <a:xfrm>
                      <a:off x="0" y="0"/>
                      <a:ext cx="2625590" cy="2354909"/>
                    </a:xfrm>
                    <a:prstGeom prst="rect">
                      <a:avLst/>
                    </a:prstGeom>
                    <a:ln>
                      <a:noFill/>
                    </a:ln>
                  </pic:spPr>
                </pic:pic>
              </a:graphicData>
            </a:graphic>
          </wp:inline>
        </w:drawing>
      </w:r>
    </w:p>
    <w:p w14:paraId="03676B6B">
      <w:pPr>
        <w:widowControl/>
        <w:jc w:val="left"/>
        <w:rPr>
          <w:rFonts w:hint="eastAsia" w:asciiTheme="minorEastAsia" w:hAnsiTheme="minorEastAsia" w:cstheme="minorEastAsia"/>
          <w:color w:val="000000" w:themeColor="text1"/>
          <w:sz w:val="31"/>
          <w:szCs w:val="31"/>
          <w:lang w:bidi="ar"/>
          <w14:textFill>
            <w14:solidFill>
              <w14:schemeClr w14:val="tx1"/>
            </w14:solidFill>
          </w14:textFill>
        </w:rPr>
      </w:pPr>
      <w:r>
        <w:rPr>
          <w:rFonts w:hint="eastAsia" w:asciiTheme="minorEastAsia" w:hAnsiTheme="minorEastAsia" w:cstheme="minorEastAsia"/>
          <w:color w:val="000000" w:themeColor="text1"/>
          <w:sz w:val="31"/>
          <w:szCs w:val="31"/>
          <w:lang w:bidi="ar"/>
          <w14:textFill>
            <w14:solidFill>
              <w14:schemeClr w14:val="tx1"/>
            </w14:solidFill>
          </w14:textFill>
        </w:rPr>
        <w:t>四、鼓励注重居住小区各类出入口设计（示意）</w:t>
      </w:r>
    </w:p>
    <w:p w14:paraId="3190A025">
      <w:pPr>
        <w:widowControl/>
        <w:ind w:left="1250"/>
        <w:jc w:val="left"/>
        <w:rPr>
          <w:rFonts w:hint="eastAsia" w:asciiTheme="minorEastAsia" w:hAnsiTheme="minorEastAsia" w:cstheme="minorEastAsia"/>
          <w:color w:val="000000" w:themeColor="text1"/>
          <w:sz w:val="31"/>
          <w:szCs w:val="31"/>
          <w:lang w:bidi="ar"/>
          <w14:textFill>
            <w14:solidFill>
              <w14:schemeClr w14:val="tx1"/>
            </w14:solidFill>
          </w14:textFill>
        </w:rPr>
      </w:pPr>
    </w:p>
    <w:p w14:paraId="145C6EBB">
      <w:pPr>
        <w:pStyle w:val="12"/>
        <w:widowControl/>
        <w:ind w:left="1250" w:firstLine="0" w:firstLineChars="0"/>
        <w:jc w:val="left"/>
        <w:rPr>
          <w:color w:val="000000" w:themeColor="text1"/>
          <w14:textFill>
            <w14:solidFill>
              <w14:schemeClr w14:val="tx1"/>
            </w14:solidFill>
          </w14:textFill>
        </w:rPr>
      </w:pPr>
      <w:r>
        <w:rPr>
          <w:rFonts w:hint="eastAsia" w:asciiTheme="minorEastAsia" w:hAnsiTheme="minorEastAsia" w:cstheme="minorEastAsia"/>
          <w:color w:val="000000" w:themeColor="text1"/>
          <w:sz w:val="31"/>
          <w:szCs w:val="31"/>
          <w14:textFill>
            <w14:solidFill>
              <w14:schemeClr w14:val="tx1"/>
            </w14:solidFill>
          </w14:textFill>
        </w:rPr>
        <w:drawing>
          <wp:anchor distT="0" distB="0" distL="0" distR="0" simplePos="0" relativeHeight="251659264" behindDoc="0" locked="0" layoutInCell="1" allowOverlap="1">
            <wp:simplePos x="0" y="0"/>
            <wp:positionH relativeFrom="column">
              <wp:posOffset>127000</wp:posOffset>
            </wp:positionH>
            <wp:positionV relativeFrom="paragraph">
              <wp:posOffset>30480</wp:posOffset>
            </wp:positionV>
            <wp:extent cx="4790440" cy="2178685"/>
            <wp:effectExtent l="0" t="0" r="10160" b="1206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cstate="print">
                      <a:extLst>
                        <a:ext uri="{28A0092B-C50C-407E-A947-70E740481C1C}">
                          <a14:useLocalDpi xmlns:a14="http://schemas.microsoft.com/office/drawing/2010/main" val="0"/>
                        </a:ext>
                      </a:extLst>
                    </a:blip>
                    <a:srcRect l="9160" t="44922"/>
                    <a:stretch>
                      <a:fillRect/>
                    </a:stretch>
                  </pic:blipFill>
                  <pic:spPr>
                    <a:xfrm>
                      <a:off x="0" y="0"/>
                      <a:ext cx="4791191" cy="2178893"/>
                    </a:xfrm>
                    <a:prstGeom prst="rect">
                      <a:avLst/>
                    </a:prstGeom>
                  </pic:spPr>
                </pic:pic>
              </a:graphicData>
            </a:graphic>
          </wp:anchor>
        </w:drawing>
      </w:r>
    </w:p>
    <w:p w14:paraId="3910B3C2">
      <w:pPr>
        <w:rPr>
          <w:color w:val="000000" w:themeColor="text1"/>
          <w14:textFill>
            <w14:solidFill>
              <w14:schemeClr w14:val="tx1"/>
            </w14:solidFill>
          </w14:textFill>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AE66A">
    <w:pPr>
      <w:pStyle w:val="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05708E">
                          <w:pPr>
                            <w:pStyle w:val="2"/>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3105708E">
                    <w:pPr>
                      <w:pStyle w:val="2"/>
                    </w:pPr>
                    <w:r>
                      <w:fldChar w:fldCharType="begin"/>
                    </w:r>
                    <w:r>
                      <w:instrText xml:space="preserve"> PAGE  \* MERGEFORMAT </w:instrText>
                    </w:r>
                    <w:r>
                      <w:fldChar w:fldCharType="separate"/>
                    </w:r>
                    <w:r>
                      <w:t>9</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E3E4CDF"/>
    <w:rsid w:val="002E6B11"/>
    <w:rsid w:val="004C048A"/>
    <w:rsid w:val="006E2251"/>
    <w:rsid w:val="00E24DE5"/>
    <w:rsid w:val="07A70FF4"/>
    <w:rsid w:val="18174416"/>
    <w:rsid w:val="33D70A46"/>
    <w:rsid w:val="3BEA61D4"/>
    <w:rsid w:val="4E3E4CDF"/>
    <w:rsid w:val="5FD1193B"/>
    <w:rsid w:val="70CC2634"/>
    <w:rsid w:val="73EA1A16"/>
    <w:rsid w:val="781E4F5F"/>
    <w:rsid w:val="7E017F43"/>
    <w:rsid w:val="7E815D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1"/>
    <w:qFormat/>
    <w:uiPriority w:val="0"/>
    <w:pPr>
      <w:tabs>
        <w:tab w:val="center" w:pos="4153"/>
        <w:tab w:val="right" w:pos="8306"/>
      </w:tabs>
      <w:snapToGrid w:val="0"/>
      <w:jc w:val="left"/>
    </w:pPr>
    <w:rPr>
      <w:sz w:val="18"/>
    </w:rPr>
  </w:style>
  <w:style w:type="paragraph" w:styleId="3">
    <w:name w:val="annotation text"/>
    <w:basedOn w:val="1"/>
    <w:qFormat/>
    <w:uiPriority w:val="0"/>
    <w:pPr>
      <w:jc w:val="left"/>
    </w:pPr>
  </w:style>
  <w:style w:type="paragraph" w:styleId="4">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bCs/>
    </w:rPr>
  </w:style>
  <w:style w:type="character" w:styleId="9">
    <w:name w:val="annotation reference"/>
    <w:basedOn w:val="7"/>
    <w:qFormat/>
    <w:uiPriority w:val="0"/>
    <w:rPr>
      <w:sz w:val="21"/>
      <w:szCs w:val="21"/>
    </w:rPr>
  </w:style>
  <w:style w:type="paragraph" w:customStyle="1" w:styleId="10">
    <w:name w:val="Default"/>
    <w:basedOn w:val="11"/>
    <w:qFormat/>
    <w:uiPriority w:val="0"/>
    <w:pPr>
      <w:widowControl w:val="0"/>
      <w:autoSpaceDE w:val="0"/>
      <w:autoSpaceDN w:val="0"/>
      <w:adjustRightInd w:val="0"/>
    </w:pPr>
    <w:rPr>
      <w:rFonts w:ascii="Times New Roman" w:hAnsi="Times New Roman"/>
      <w:color w:val="000000"/>
      <w:sz w:val="24"/>
      <w:szCs w:val="24"/>
    </w:rPr>
  </w:style>
  <w:style w:type="paragraph" w:customStyle="1" w:styleId="11">
    <w:name w:val="正文1"/>
    <w:unhideWhenUsed/>
    <w:qFormat/>
    <w:uiPriority w:val="0"/>
    <w:pPr>
      <w:jc w:val="both"/>
    </w:pPr>
    <w:rPr>
      <w:rFonts w:ascii="Calibri" w:hAnsi="Calibri" w:eastAsia="宋体" w:cs="Times New Roman"/>
      <w:sz w:val="32"/>
      <w:szCs w:val="32"/>
      <w:lang w:val="en-US" w:eastAsia="zh-CN" w:bidi="ar-SA"/>
    </w:rPr>
  </w:style>
  <w:style w:type="paragraph" w:styleId="1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3285</Words>
  <Characters>3323</Characters>
  <Lines>23</Lines>
  <Paragraphs>6</Paragraphs>
  <TotalTime>9</TotalTime>
  <ScaleCrop>false</ScaleCrop>
  <LinksUpToDate>false</LinksUpToDate>
  <CharactersWithSpaces>3336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2024-12-04T09:38:00Z</dcterms:created>
  <dc:creator>WANG</dc:creator>
  <cp:lastModifiedBy>北海未暖.</cp:lastModifiedBy>
  <dcterms:modified xsi:type="dcterms:W3CDTF">2025-01-08T02:56:59Z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62BF28323E4D46AE8A9571C683E9CE24_13</vt:lpwstr>
  </property>
  <property fmtid="{D5CDD505-2E9C-101B-9397-08002B2CF9AE}" pid="4" name="KSOTemplateDocerSaveRecord">
    <vt:lpwstr>eyJoZGlkIjoiNzA0YjYyZmM4ZmU5OTkzNTQ0ZjhhYjU2MmZjOGZjNDMiLCJ1c2VySWQiOiI3MTM0MDg1MDUifQ==</vt:lpwstr>
  </property>
</Properties>
</file>