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750" w:lineRule="atLeast"/>
        <w:ind w:left="226" w:right="226"/>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shd w:val="clear" w:fill="FFFFFF"/>
        </w:rPr>
        <w:t>2019年前三季度</w:t>
      </w:r>
      <w:r>
        <w:rPr>
          <w:rFonts w:hint="eastAsia" w:ascii="方正小标宋简体" w:hAnsi="方正小标宋简体" w:eastAsia="方正小标宋简体" w:cs="方正小标宋简体"/>
          <w:color w:val="auto"/>
          <w:sz w:val="32"/>
          <w:szCs w:val="32"/>
          <w:shd w:val="clear" w:fill="FFFFFF"/>
          <w:lang w:eastAsia="zh-CN"/>
        </w:rPr>
        <w:t>静海区</w:t>
      </w:r>
      <w:r>
        <w:rPr>
          <w:rFonts w:hint="eastAsia" w:ascii="方正小标宋简体" w:hAnsi="方正小标宋简体" w:eastAsia="方正小标宋简体" w:cs="方正小标宋简体"/>
          <w:color w:val="auto"/>
          <w:sz w:val="32"/>
          <w:szCs w:val="32"/>
          <w:shd w:val="clear" w:fill="FFFFFF"/>
        </w:rPr>
        <w:t>经济</w:t>
      </w:r>
      <w:r>
        <w:rPr>
          <w:rFonts w:hint="eastAsia" w:ascii="方正小标宋简体" w:hAnsi="方正小标宋简体" w:eastAsia="方正小标宋简体" w:cs="方正小标宋简体"/>
          <w:color w:val="auto"/>
          <w:sz w:val="32"/>
          <w:szCs w:val="32"/>
          <w:shd w:val="clear" w:fill="FFFFFF"/>
          <w:lang w:eastAsia="zh-CN"/>
        </w:rPr>
        <w:t>稳中有进</w:t>
      </w:r>
      <w:r>
        <w:rPr>
          <w:rFonts w:hint="eastAsia" w:ascii="方正小标宋简体" w:hAnsi="方正小标宋简体" w:eastAsia="方正小标宋简体" w:cs="方正小标宋简体"/>
          <w:color w:val="auto"/>
          <w:sz w:val="32"/>
          <w:szCs w:val="32"/>
          <w:shd w:val="clear" w:fill="FFFFFF"/>
        </w:rPr>
        <w:t xml:space="preserve"> </w:t>
      </w:r>
    </w:p>
    <w:p>
      <w:pPr>
        <w:pStyle w:val="7"/>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60" w:lineRule="atLeast"/>
        <w:ind w:left="0" w:right="0" w:firstLine="480" w:firstLineChars="200"/>
        <w:jc w:val="both"/>
        <w:textAlignment w:val="auto"/>
        <w:rPr>
          <w:rFonts w:hint="eastAsia" w:ascii="仿宋" w:hAnsi="仿宋" w:eastAsia="仿宋" w:cs="仿宋"/>
          <w:sz w:val="32"/>
          <w:szCs w:val="32"/>
        </w:rPr>
      </w:pPr>
      <w:r>
        <w:rPr>
          <w:rFonts w:hint="eastAsia" w:ascii="宋体" w:hAnsi="宋体" w:eastAsia="宋体" w:cs="宋体"/>
          <w:sz w:val="24"/>
          <w:szCs w:val="24"/>
          <w:shd w:val="clear" w:fill="FFFFFF"/>
        </w:rPr>
        <w:t>　</w:t>
      </w:r>
      <w:r>
        <w:rPr>
          <w:rFonts w:hint="eastAsia" w:ascii="仿宋" w:hAnsi="仿宋" w:eastAsia="仿宋" w:cs="仿宋"/>
          <w:sz w:val="32"/>
          <w:szCs w:val="32"/>
          <w:shd w:val="clear" w:fill="FFFFFF"/>
        </w:rPr>
        <w:t>前三季度，全</w:t>
      </w:r>
      <w:r>
        <w:rPr>
          <w:rFonts w:hint="eastAsia" w:ascii="仿宋" w:hAnsi="仿宋" w:eastAsia="仿宋" w:cs="仿宋"/>
          <w:sz w:val="32"/>
          <w:szCs w:val="32"/>
          <w:shd w:val="clear" w:fill="FFFFFF"/>
          <w:lang w:eastAsia="zh-CN"/>
        </w:rPr>
        <w:t>区上下</w:t>
      </w:r>
      <w:r>
        <w:rPr>
          <w:rFonts w:hint="eastAsia" w:ascii="仿宋" w:hAnsi="仿宋" w:eastAsia="仿宋" w:cs="仿宋"/>
          <w:sz w:val="32"/>
          <w:szCs w:val="32"/>
          <w:shd w:val="clear" w:fill="FFFFFF"/>
        </w:rPr>
        <w:t>坚持以习近平新时代中国特色社会主义思想为指导，认真贯彻</w:t>
      </w:r>
      <w:r>
        <w:rPr>
          <w:rFonts w:hint="eastAsia" w:ascii="仿宋" w:hAnsi="仿宋" w:eastAsia="仿宋" w:cs="仿宋"/>
          <w:sz w:val="32"/>
          <w:szCs w:val="32"/>
          <w:shd w:val="clear" w:fill="FFFFFF"/>
          <w:lang w:eastAsia="zh-CN"/>
        </w:rPr>
        <w:t>区委、区政府</w:t>
      </w:r>
      <w:r>
        <w:rPr>
          <w:rFonts w:hint="eastAsia" w:ascii="仿宋" w:hAnsi="仿宋" w:eastAsia="仿宋" w:cs="仿宋"/>
          <w:sz w:val="32"/>
          <w:szCs w:val="32"/>
          <w:shd w:val="clear" w:fill="FFFFFF"/>
        </w:rPr>
        <w:t>决策部署，坚持稳中求进工作总基调，以供给侧结构性改革为主线，</w:t>
      </w:r>
      <w:r>
        <w:rPr>
          <w:rFonts w:hint="eastAsia" w:ascii="仿宋" w:hAnsi="仿宋" w:eastAsia="仿宋" w:cs="仿宋"/>
          <w:sz w:val="32"/>
          <w:szCs w:val="32"/>
          <w:shd w:val="clear" w:fill="FFFFFF"/>
          <w:lang w:eastAsia="zh-CN"/>
        </w:rPr>
        <w:t>坚持</w:t>
      </w:r>
      <w:r>
        <w:rPr>
          <w:rFonts w:hint="eastAsia" w:ascii="仿宋" w:hAnsi="仿宋" w:eastAsia="仿宋" w:cs="仿宋"/>
          <w:sz w:val="32"/>
          <w:szCs w:val="32"/>
          <w:shd w:val="clear" w:fill="FFFFFF"/>
        </w:rPr>
        <w:t>创新驱动发展战略，</w:t>
      </w:r>
      <w:r>
        <w:rPr>
          <w:rFonts w:hint="eastAsia" w:ascii="仿宋" w:hAnsi="仿宋" w:eastAsia="仿宋" w:cs="仿宋"/>
          <w:sz w:val="32"/>
          <w:szCs w:val="32"/>
          <w:shd w:val="clear" w:fill="FFFFFF"/>
          <w:lang w:eastAsia="zh-CN"/>
        </w:rPr>
        <w:t>打好经济转型升级组合拳，</w:t>
      </w:r>
      <w:r>
        <w:rPr>
          <w:rFonts w:hint="eastAsia" w:ascii="仿宋" w:hAnsi="仿宋" w:eastAsia="仿宋" w:cs="仿宋"/>
          <w:sz w:val="32"/>
          <w:szCs w:val="32"/>
          <w:shd w:val="clear" w:fill="FFFFFF"/>
        </w:rPr>
        <w:t>经济运行</w:t>
      </w:r>
      <w:r>
        <w:rPr>
          <w:rFonts w:hint="eastAsia" w:ascii="仿宋" w:hAnsi="仿宋" w:eastAsia="仿宋" w:cs="仿宋"/>
          <w:sz w:val="32"/>
          <w:szCs w:val="32"/>
          <w:shd w:val="clear" w:fill="FFFFFF"/>
          <w:lang w:eastAsia="zh-CN"/>
        </w:rPr>
        <w:t>呈现</w:t>
      </w:r>
      <w:r>
        <w:rPr>
          <w:rFonts w:hint="eastAsia" w:ascii="仿宋" w:hAnsi="仿宋" w:eastAsia="仿宋" w:cs="仿宋"/>
          <w:sz w:val="32"/>
          <w:szCs w:val="32"/>
          <w:shd w:val="clear" w:fill="FFFFFF"/>
        </w:rPr>
        <w:t>总体平稳、稳中有进、稳中向好态势。</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黑体" w:hAnsi="黑体" w:eastAsia="黑体" w:cs="黑体"/>
          <w:sz w:val="32"/>
          <w:szCs w:val="32"/>
          <w:shd w:val="clear" w:fill="FFFFFF"/>
        </w:rPr>
      </w:pPr>
      <w:r>
        <w:rPr>
          <w:rFonts w:hint="eastAsia" w:ascii="黑体" w:hAnsi="黑体" w:eastAsia="黑体" w:cs="黑体"/>
          <w:sz w:val="32"/>
          <w:szCs w:val="32"/>
          <w:shd w:val="clear" w:fill="FFFFFF"/>
        </w:rPr>
        <w:t>一、经济运行总体平稳</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 w:hAnsi="仿宋" w:eastAsia="仿宋" w:cs="仿宋"/>
          <w:b/>
          <w:bCs/>
          <w:sz w:val="32"/>
          <w:szCs w:val="32"/>
          <w:shd w:val="clear" w:fill="FFFFFF"/>
          <w:lang w:eastAsia="zh-CN"/>
        </w:rPr>
      </w:pPr>
      <w:r>
        <w:rPr>
          <w:rFonts w:hint="eastAsia" w:ascii="仿宋" w:hAnsi="仿宋" w:eastAsia="仿宋" w:cs="仿宋"/>
          <w:b/>
          <w:bCs/>
          <w:sz w:val="32"/>
          <w:szCs w:val="32"/>
          <w:shd w:val="clear" w:fill="FFFFFF"/>
          <w:lang w:eastAsia="zh-CN"/>
        </w:rPr>
        <w:t>（一）整体经济持续向好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200"/>
        <w:jc w:val="both"/>
        <w:textAlignment w:val="auto"/>
        <w:rPr>
          <w:rFonts w:hint="eastAsia" w:ascii="仿宋" w:hAnsi="仿宋" w:eastAsia="仿宋" w:cs="仿宋"/>
          <w:sz w:val="32"/>
          <w:szCs w:val="32"/>
          <w:shd w:val="clear" w:fill="FFFFFF"/>
        </w:rPr>
      </w:pPr>
      <w:r>
        <w:drawing>
          <wp:anchor distT="0" distB="0" distL="114300" distR="114300" simplePos="0" relativeHeight="251658240" behindDoc="1" locked="0" layoutInCell="1" allowOverlap="1">
            <wp:simplePos x="0" y="0"/>
            <wp:positionH relativeFrom="column">
              <wp:posOffset>-76200</wp:posOffset>
            </wp:positionH>
            <wp:positionV relativeFrom="paragraph">
              <wp:posOffset>2169795</wp:posOffset>
            </wp:positionV>
            <wp:extent cx="5433060" cy="3505200"/>
            <wp:effectExtent l="0" t="0" r="15240" b="38100"/>
            <wp:wrapThrough wrapText="bothSides">
              <wp:wrapPolygon>
                <wp:start x="0" y="0"/>
                <wp:lineTo x="0" y="21483"/>
                <wp:lineTo x="21509" y="21483"/>
                <wp:lineTo x="21509" y="0"/>
                <wp:lineTo x="0" y="0"/>
              </wp:wrapPolygon>
            </wp:wrapThrough>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 w:hAnsi="仿宋" w:eastAsia="仿宋" w:cs="仿宋"/>
          <w:sz w:val="32"/>
          <w:szCs w:val="32"/>
          <w:shd w:val="clear" w:fill="FFFFFF"/>
        </w:rPr>
        <w:t>初步核算，前三季度全</w:t>
      </w:r>
      <w:r>
        <w:rPr>
          <w:rFonts w:hint="eastAsia" w:ascii="仿宋" w:hAnsi="仿宋" w:eastAsia="仿宋" w:cs="仿宋"/>
          <w:sz w:val="32"/>
          <w:szCs w:val="32"/>
          <w:shd w:val="clear" w:fill="FFFFFF"/>
          <w:lang w:eastAsia="zh-CN"/>
        </w:rPr>
        <w:t>区</w:t>
      </w:r>
      <w:r>
        <w:rPr>
          <w:rFonts w:hint="eastAsia" w:ascii="仿宋" w:hAnsi="仿宋" w:eastAsia="仿宋" w:cs="仿宋"/>
          <w:sz w:val="32"/>
          <w:szCs w:val="32"/>
          <w:shd w:val="clear" w:fill="FFFFFF"/>
        </w:rPr>
        <w:t>生产总值</w:t>
      </w:r>
      <w:r>
        <w:rPr>
          <w:rFonts w:hint="eastAsia" w:ascii="仿宋" w:hAnsi="仿宋" w:eastAsia="仿宋" w:cs="仿宋"/>
          <w:sz w:val="32"/>
          <w:szCs w:val="32"/>
          <w:shd w:val="clear" w:fill="FFFFFF"/>
          <w:lang w:val="en-US" w:eastAsia="zh-CN"/>
        </w:rPr>
        <w:t>539.93</w:t>
      </w:r>
      <w:r>
        <w:rPr>
          <w:rFonts w:hint="eastAsia" w:ascii="仿宋" w:hAnsi="仿宋" w:eastAsia="仿宋" w:cs="仿宋"/>
          <w:sz w:val="32"/>
          <w:szCs w:val="32"/>
          <w:shd w:val="clear" w:fill="FFFFFF"/>
        </w:rPr>
        <w:t>亿元，比上年同期增长</w:t>
      </w:r>
      <w:r>
        <w:rPr>
          <w:rFonts w:hint="eastAsia" w:ascii="仿宋" w:hAnsi="仿宋" w:eastAsia="仿宋" w:cs="仿宋"/>
          <w:sz w:val="32"/>
          <w:szCs w:val="32"/>
          <w:shd w:val="clear" w:fill="FFFFFF"/>
          <w:lang w:val="en-US" w:eastAsia="zh-CN"/>
        </w:rPr>
        <w:t>5.1</w:t>
      </w:r>
      <w:r>
        <w:rPr>
          <w:rFonts w:hint="default" w:ascii="仿宋" w:hAnsi="仿宋" w:eastAsia="仿宋" w:cs="仿宋"/>
          <w:sz w:val="32"/>
          <w:szCs w:val="32"/>
          <w:shd w:val="clear" w:fill="FFFFFF"/>
        </w:rPr>
        <w:t>%</w:t>
      </w:r>
      <w:r>
        <w:rPr>
          <w:rFonts w:hint="eastAsia" w:ascii="仿宋" w:hAnsi="仿宋" w:eastAsia="仿宋" w:cs="仿宋"/>
          <w:sz w:val="32"/>
          <w:szCs w:val="32"/>
          <w:shd w:val="clear" w:fill="FFFFFF"/>
        </w:rPr>
        <w:t>，</w:t>
      </w:r>
      <w:r>
        <w:rPr>
          <w:rFonts w:hint="eastAsia" w:ascii="仿宋" w:hAnsi="仿宋" w:eastAsia="仿宋" w:cs="仿宋"/>
          <w:b w:val="0"/>
          <w:bCs w:val="0"/>
          <w:sz w:val="32"/>
          <w:szCs w:val="32"/>
          <w:lang w:val="en-US" w:eastAsia="zh-CN"/>
        </w:rPr>
        <w:t>较上半年增速提升0.9个百分点，增速在全市排在第5位</w:t>
      </w:r>
      <w:r>
        <w:rPr>
          <w:rFonts w:hint="eastAsia" w:ascii="仿宋" w:hAnsi="仿宋" w:eastAsia="仿宋" w:cs="仿宋"/>
          <w:sz w:val="32"/>
          <w:szCs w:val="32"/>
          <w:shd w:val="clear" w:fill="FFFFFF"/>
        </w:rPr>
        <w:t>。分产业看，第一产业增加值</w:t>
      </w:r>
      <w:r>
        <w:rPr>
          <w:rFonts w:hint="eastAsia" w:ascii="仿宋" w:hAnsi="仿宋" w:eastAsia="仿宋" w:cs="仿宋"/>
          <w:sz w:val="32"/>
          <w:szCs w:val="32"/>
          <w:shd w:val="clear" w:fill="FFFFFF"/>
          <w:lang w:val="en-US" w:eastAsia="zh-CN"/>
        </w:rPr>
        <w:t>13.69</w:t>
      </w:r>
      <w:r>
        <w:rPr>
          <w:rFonts w:hint="eastAsia" w:ascii="仿宋" w:hAnsi="仿宋" w:eastAsia="仿宋" w:cs="仿宋"/>
          <w:sz w:val="32"/>
          <w:szCs w:val="32"/>
          <w:shd w:val="clear" w:fill="FFFFFF"/>
        </w:rPr>
        <w:t>亿元，</w:t>
      </w:r>
      <w:r>
        <w:rPr>
          <w:rFonts w:hint="eastAsia" w:ascii="仿宋" w:hAnsi="仿宋" w:eastAsia="仿宋" w:cs="仿宋"/>
          <w:sz w:val="32"/>
          <w:szCs w:val="32"/>
          <w:shd w:val="clear" w:fill="FFFFFF"/>
          <w:lang w:eastAsia="zh-CN"/>
        </w:rPr>
        <w:t>下降</w:t>
      </w:r>
      <w:r>
        <w:rPr>
          <w:rFonts w:hint="eastAsia" w:ascii="仿宋" w:hAnsi="仿宋" w:eastAsia="仿宋" w:cs="仿宋"/>
          <w:sz w:val="32"/>
          <w:szCs w:val="32"/>
          <w:shd w:val="clear" w:fill="FFFFFF"/>
          <w:lang w:val="en-US" w:eastAsia="zh-CN"/>
        </w:rPr>
        <w:t>12.1</w:t>
      </w:r>
      <w:r>
        <w:rPr>
          <w:rFonts w:hint="default" w:ascii="仿宋" w:hAnsi="仿宋" w:eastAsia="仿宋" w:cs="仿宋"/>
          <w:sz w:val="32"/>
          <w:szCs w:val="32"/>
          <w:shd w:val="clear" w:fill="FFFFFF"/>
        </w:rPr>
        <w:t>%</w:t>
      </w:r>
      <w:r>
        <w:rPr>
          <w:rFonts w:hint="eastAsia" w:ascii="仿宋" w:hAnsi="仿宋" w:eastAsia="仿宋" w:cs="仿宋"/>
          <w:sz w:val="32"/>
          <w:szCs w:val="32"/>
          <w:shd w:val="clear" w:fill="FFFFFF"/>
        </w:rPr>
        <w:t>；第二产业增加值</w:t>
      </w:r>
      <w:r>
        <w:rPr>
          <w:rFonts w:hint="eastAsia" w:ascii="仿宋" w:hAnsi="仿宋" w:eastAsia="仿宋" w:cs="仿宋"/>
          <w:sz w:val="32"/>
          <w:szCs w:val="32"/>
          <w:shd w:val="clear" w:fill="FFFFFF"/>
          <w:lang w:val="en-US" w:eastAsia="zh-CN"/>
        </w:rPr>
        <w:t>254.82</w:t>
      </w:r>
      <w:r>
        <w:rPr>
          <w:rFonts w:hint="eastAsia" w:ascii="仿宋" w:hAnsi="仿宋" w:eastAsia="仿宋" w:cs="仿宋"/>
          <w:sz w:val="32"/>
          <w:szCs w:val="32"/>
          <w:shd w:val="clear" w:fill="FFFFFF"/>
        </w:rPr>
        <w:t>亿元，增长</w:t>
      </w:r>
      <w:r>
        <w:rPr>
          <w:rFonts w:hint="eastAsia" w:ascii="仿宋" w:hAnsi="仿宋" w:eastAsia="仿宋" w:cs="仿宋"/>
          <w:sz w:val="32"/>
          <w:szCs w:val="32"/>
          <w:shd w:val="clear" w:fill="FFFFFF"/>
          <w:lang w:val="en-US" w:eastAsia="zh-CN"/>
        </w:rPr>
        <w:t>9.0</w:t>
      </w:r>
      <w:r>
        <w:rPr>
          <w:rFonts w:hint="default" w:ascii="仿宋" w:hAnsi="仿宋" w:eastAsia="仿宋" w:cs="仿宋"/>
          <w:sz w:val="32"/>
          <w:szCs w:val="32"/>
          <w:shd w:val="clear" w:fill="FFFFFF"/>
        </w:rPr>
        <w:t>%</w:t>
      </w:r>
      <w:r>
        <w:rPr>
          <w:rFonts w:hint="eastAsia" w:ascii="仿宋" w:hAnsi="仿宋" w:eastAsia="仿宋" w:cs="仿宋"/>
          <w:sz w:val="32"/>
          <w:szCs w:val="32"/>
          <w:shd w:val="clear" w:fill="FFFFFF"/>
        </w:rPr>
        <w:t>；第三产业增加值</w:t>
      </w:r>
      <w:r>
        <w:rPr>
          <w:rFonts w:hint="eastAsia" w:ascii="仿宋" w:hAnsi="仿宋" w:eastAsia="仿宋" w:cs="仿宋"/>
          <w:sz w:val="32"/>
          <w:szCs w:val="32"/>
          <w:shd w:val="clear" w:fill="FFFFFF"/>
          <w:lang w:val="en-US" w:eastAsia="zh-CN"/>
        </w:rPr>
        <w:t>271.42</w:t>
      </w:r>
      <w:r>
        <w:rPr>
          <w:rFonts w:hint="eastAsia" w:ascii="仿宋" w:hAnsi="仿宋" w:eastAsia="仿宋" w:cs="仿宋"/>
          <w:sz w:val="32"/>
          <w:szCs w:val="32"/>
          <w:shd w:val="clear" w:fill="FFFFFF"/>
        </w:rPr>
        <w:t>亿元，增长</w:t>
      </w:r>
      <w:r>
        <w:rPr>
          <w:rFonts w:hint="eastAsia" w:ascii="仿宋" w:hAnsi="仿宋" w:eastAsia="仿宋" w:cs="仿宋"/>
          <w:sz w:val="32"/>
          <w:szCs w:val="32"/>
          <w:shd w:val="clear" w:fill="FFFFFF"/>
          <w:lang w:val="en-US" w:eastAsia="zh-CN"/>
        </w:rPr>
        <w:t>1.6</w:t>
      </w:r>
      <w:r>
        <w:rPr>
          <w:rFonts w:hint="default" w:ascii="仿宋" w:hAnsi="仿宋" w:eastAsia="仿宋" w:cs="仿宋"/>
          <w:sz w:val="32"/>
          <w:szCs w:val="32"/>
          <w:shd w:val="clear" w:fill="FFFFFF"/>
        </w:rPr>
        <w:t>%</w:t>
      </w:r>
      <w:r>
        <w:rPr>
          <w:rFonts w:hint="eastAsia" w:ascii="仿宋" w:hAnsi="仿宋" w:eastAsia="仿宋" w:cs="仿宋"/>
          <w:sz w:val="32"/>
          <w:szCs w:val="32"/>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bCs/>
          <w:sz w:val="32"/>
          <w:szCs w:val="32"/>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val="0"/>
          <w:sz w:val="32"/>
          <w:szCs w:val="32"/>
          <w:lang w:val="en-US" w:eastAsia="zh-CN"/>
        </w:rPr>
      </w:pPr>
      <w:r>
        <w:rPr>
          <w:rFonts w:hint="default" w:ascii="仿宋" w:hAnsi="仿宋" w:eastAsia="仿宋" w:cs="仿宋"/>
          <w:b/>
          <w:bCs/>
          <w:sz w:val="32"/>
          <w:szCs w:val="32"/>
          <w:shd w:val="clear" w:fill="FFFFFF"/>
        </w:rPr>
        <w:t> </w:t>
      </w:r>
      <w:r>
        <w:rPr>
          <w:rFonts w:hint="eastAsia" w:ascii="仿宋" w:hAnsi="仿宋" w:eastAsia="仿宋" w:cs="仿宋"/>
          <w:b/>
          <w:bCs/>
          <w:sz w:val="32"/>
          <w:szCs w:val="32"/>
          <w:shd w:val="clear" w:fill="FFFFFF"/>
        </w:rPr>
        <w:t>工业生产平稳增长。</w:t>
      </w:r>
      <w:r>
        <w:rPr>
          <w:rFonts w:hint="eastAsia" w:ascii="仿宋" w:hAnsi="仿宋" w:eastAsia="仿宋" w:cs="仿宋"/>
          <w:b w:val="0"/>
          <w:bCs w:val="0"/>
          <w:sz w:val="32"/>
          <w:szCs w:val="32"/>
          <w:shd w:val="clear" w:fill="FFFFFF"/>
          <w:lang w:eastAsia="zh-CN"/>
        </w:rPr>
        <w:t>前三季度工业增加值完成</w:t>
      </w:r>
      <w:r>
        <w:rPr>
          <w:rFonts w:hint="eastAsia" w:ascii="仿宋" w:hAnsi="仿宋" w:eastAsia="仿宋" w:cs="仿宋"/>
          <w:b w:val="0"/>
          <w:bCs w:val="0"/>
          <w:sz w:val="32"/>
          <w:szCs w:val="32"/>
          <w:shd w:val="clear" w:fill="FFFFFF"/>
          <w:lang w:val="en-US" w:eastAsia="zh-CN"/>
        </w:rPr>
        <w:t>233.20亿元，同比增长9.3%，拉动全区地区生产总值增长4.5个百分点。其中</w:t>
      </w:r>
      <w:r>
        <w:rPr>
          <w:rFonts w:hint="eastAsia" w:ascii="仿宋" w:hAnsi="仿宋" w:eastAsia="仿宋" w:cs="仿宋"/>
          <w:sz w:val="32"/>
          <w:szCs w:val="32"/>
          <w:shd w:val="clear" w:fill="FFFFFF"/>
        </w:rPr>
        <w:t>规模以上工业增加值增长</w:t>
      </w:r>
      <w:r>
        <w:rPr>
          <w:rFonts w:hint="eastAsia" w:ascii="仿宋" w:hAnsi="仿宋" w:eastAsia="仿宋" w:cs="仿宋"/>
          <w:sz w:val="32"/>
          <w:szCs w:val="32"/>
          <w:shd w:val="clear" w:fill="FFFFFF"/>
          <w:lang w:val="en-US" w:eastAsia="zh-CN"/>
        </w:rPr>
        <w:t>9.3</w:t>
      </w:r>
      <w:r>
        <w:rPr>
          <w:rFonts w:hint="default" w:ascii="仿宋" w:hAnsi="仿宋" w:eastAsia="仿宋" w:cs="仿宋"/>
          <w:sz w:val="32"/>
          <w:szCs w:val="32"/>
          <w:shd w:val="clear" w:fill="FFFFFF"/>
        </w:rPr>
        <w:t>%</w:t>
      </w:r>
      <w:r>
        <w:rPr>
          <w:rFonts w:hint="eastAsia" w:ascii="仿宋" w:hAnsi="仿宋" w:eastAsia="仿宋" w:cs="仿宋"/>
          <w:sz w:val="32"/>
          <w:szCs w:val="32"/>
          <w:shd w:val="clear" w:fill="FFFFFF"/>
        </w:rPr>
        <w:t>，同比加快</w:t>
      </w:r>
      <w:r>
        <w:rPr>
          <w:rFonts w:hint="eastAsia" w:ascii="仿宋" w:hAnsi="仿宋" w:eastAsia="仿宋" w:cs="仿宋"/>
          <w:sz w:val="32"/>
          <w:szCs w:val="32"/>
          <w:shd w:val="clear" w:fill="FFFFFF"/>
          <w:lang w:val="en-US" w:eastAsia="zh-CN"/>
        </w:rPr>
        <w:t>8.3</w:t>
      </w:r>
      <w:r>
        <w:rPr>
          <w:rFonts w:hint="eastAsia" w:ascii="仿宋" w:hAnsi="仿宋" w:eastAsia="仿宋" w:cs="仿宋"/>
          <w:sz w:val="32"/>
          <w:szCs w:val="32"/>
          <w:shd w:val="clear" w:fill="FFFFFF"/>
        </w:rPr>
        <w:t>个百分点。</w:t>
      </w:r>
      <w:r>
        <w:rPr>
          <w:rFonts w:hint="eastAsia" w:ascii="仿宋" w:hAnsi="仿宋" w:eastAsia="仿宋" w:cs="仿宋"/>
          <w:b w:val="0"/>
          <w:bCs w:val="0"/>
          <w:sz w:val="32"/>
          <w:szCs w:val="32"/>
          <w:lang w:val="en-US" w:eastAsia="zh-CN"/>
        </w:rPr>
        <w:t>规模以上工业总产值克服多种不利因素完成1215.22亿元，同比增长8.9%，增速在全市排名第二。从分行业看，31个工业大类，22个行业大类保持增长。重点支柱产业运行情况良好，黑色金属冶炼和压延加工业（占57.6%）同比增长6.3%；金属制品业（占11.6%）同比增长11.0%；有色金属冶炼和压延加工业（占7.4%）同比增长47.9%；铁路、船舶、航空航天和其他运输设备制造业（占5.0%）同比增长14.4%；废弃资源综合利用业（占1.8%）同比增长19.2%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shd w:val="clear" w:fill="FFFFFF"/>
          <w:lang w:eastAsia="zh-CN"/>
        </w:rPr>
        <w:t>建筑业保持增长。</w:t>
      </w:r>
      <w:r>
        <w:rPr>
          <w:rFonts w:hint="eastAsia" w:ascii="仿宋" w:hAnsi="仿宋" w:eastAsia="仿宋" w:cs="仿宋"/>
          <w:b w:val="0"/>
          <w:bCs w:val="0"/>
          <w:sz w:val="32"/>
          <w:szCs w:val="32"/>
          <w:lang w:val="en-US" w:eastAsia="zh-CN"/>
        </w:rPr>
        <w:t>前三季度，建筑业增加值增长4.8%，增速高于去年同期25.2个百分点。有资质的建筑业网报企业完成建筑业产值38.24亿元，同比增长4.1%。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宋体" w:hAnsi="宋体" w:eastAsia="宋体" w:cs="宋体"/>
          <w:sz w:val="24"/>
          <w:szCs w:val="24"/>
          <w:shd w:val="clear" w:fill="FFFFFF"/>
        </w:rPr>
      </w:pPr>
      <w:r>
        <w:rPr>
          <w:rFonts w:hint="eastAsia" w:ascii="仿宋" w:hAnsi="仿宋" w:eastAsia="仿宋" w:cs="仿宋"/>
          <w:b/>
          <w:bCs/>
          <w:sz w:val="32"/>
          <w:szCs w:val="32"/>
          <w:lang w:val="en-US" w:eastAsia="zh-CN"/>
        </w:rPr>
        <w:t>三产总体上扭转了下降趋势。</w:t>
      </w:r>
      <w:r>
        <w:rPr>
          <w:rFonts w:hint="eastAsia" w:ascii="仿宋" w:hAnsi="仿宋" w:eastAsia="仿宋" w:cs="仿宋"/>
          <w:b w:val="0"/>
          <w:bCs w:val="0"/>
          <w:sz w:val="32"/>
          <w:szCs w:val="32"/>
          <w:lang w:val="en-US" w:eastAsia="zh-CN"/>
        </w:rPr>
        <w:t>前三季度，第三产业增加值同比增长1.6%，</w:t>
      </w:r>
      <w:r>
        <w:rPr>
          <w:rFonts w:ascii="仿宋" w:hAnsi="仿宋" w:eastAsia="仿宋"/>
          <w:sz w:val="32"/>
          <w:szCs w:val="32"/>
        </w:rPr>
        <w:t>增速快于上半年</w:t>
      </w:r>
      <w:r>
        <w:rPr>
          <w:rFonts w:hint="eastAsia" w:ascii="仿宋" w:hAnsi="仿宋" w:eastAsia="仿宋"/>
          <w:sz w:val="32"/>
          <w:szCs w:val="32"/>
          <w:lang w:val="en-US" w:eastAsia="zh-CN"/>
        </w:rPr>
        <w:t>2.4</w:t>
      </w:r>
      <w:r>
        <w:rPr>
          <w:rFonts w:ascii="仿宋" w:hAnsi="仿宋" w:eastAsia="仿宋"/>
          <w:sz w:val="32"/>
          <w:szCs w:val="32"/>
        </w:rPr>
        <w:t>个百分点，实现转负为正。</w:t>
      </w:r>
      <w:r>
        <w:rPr>
          <w:rFonts w:hint="eastAsia" w:ascii="仿宋" w:hAnsi="仿宋" w:eastAsia="仿宋"/>
          <w:sz w:val="32"/>
          <w:szCs w:val="32"/>
          <w:lang w:eastAsia="zh-CN"/>
        </w:rPr>
        <w:t>其他服务业</w:t>
      </w:r>
      <w:r>
        <w:rPr>
          <w:rFonts w:hint="eastAsia" w:ascii="仿宋" w:hAnsi="仿宋" w:eastAsia="仿宋"/>
          <w:sz w:val="32"/>
          <w:szCs w:val="32"/>
          <w:lang w:val="en-US" w:eastAsia="zh-CN"/>
        </w:rPr>
        <w:t>增长3.3%，增速高于上半年7.6个百分点，拉动地区生产总值增长0.7个百分点；</w:t>
      </w:r>
      <w:r>
        <w:rPr>
          <w:rFonts w:hint="eastAsia" w:ascii="仿宋" w:hAnsi="仿宋" w:eastAsia="仿宋" w:cs="仿宋"/>
          <w:b w:val="0"/>
          <w:bCs w:val="0"/>
          <w:sz w:val="32"/>
          <w:szCs w:val="32"/>
          <w:lang w:val="en-US" w:eastAsia="zh-CN"/>
        </w:rPr>
        <w:t>2019年1-8月份其他规模以上重点营利性服务业增加值同比增长48.7%，增速比1-5月份提高84.6个百分点。</w:t>
      </w:r>
      <w:r>
        <w:rPr>
          <w:rFonts w:hint="eastAsia" w:ascii="仿宋" w:hAnsi="仿宋" w:eastAsia="仿宋"/>
          <w:sz w:val="32"/>
          <w:szCs w:val="32"/>
          <w:lang w:val="en-US" w:eastAsia="zh-CN"/>
        </w:rPr>
        <w:t>金融业增长10.8%，增速高于上半年5.1个百分点，拉动地区生产总值增长0.3个百分点；</w:t>
      </w:r>
      <w:r>
        <w:rPr>
          <w:rFonts w:hint="eastAsia" w:ascii="仿宋" w:hAnsi="仿宋" w:eastAsia="仿宋" w:cs="仿宋"/>
          <w:b w:val="0"/>
          <w:bCs w:val="0"/>
          <w:sz w:val="32"/>
          <w:szCs w:val="32"/>
          <w:lang w:val="en-US" w:eastAsia="zh-CN"/>
        </w:rPr>
        <w:t>银行存贷款余额增长10.7%。</w:t>
      </w:r>
      <w:r>
        <w:rPr>
          <w:rFonts w:ascii="仿宋" w:hAnsi="仿宋" w:eastAsia="仿宋"/>
          <w:sz w:val="32"/>
          <w:szCs w:val="32"/>
        </w:rPr>
        <w:t>住宿餐饮业增加值</w:t>
      </w:r>
      <w:r>
        <w:rPr>
          <w:rFonts w:hint="eastAsia" w:ascii="仿宋" w:hAnsi="仿宋" w:eastAsia="仿宋"/>
          <w:sz w:val="32"/>
          <w:szCs w:val="32"/>
          <w:lang w:eastAsia="zh-CN"/>
        </w:rPr>
        <w:t>增长</w:t>
      </w:r>
      <w:r>
        <w:rPr>
          <w:rFonts w:hint="eastAsia" w:ascii="仿宋" w:hAnsi="仿宋" w:eastAsia="仿宋"/>
          <w:sz w:val="32"/>
          <w:szCs w:val="32"/>
          <w:lang w:val="en-US" w:eastAsia="zh-CN"/>
        </w:rPr>
        <w:t>4.4%，增速高于上半年0.3个百分点，拉动地区生产总值增长0.1个百分点；</w:t>
      </w:r>
      <w:r>
        <w:rPr>
          <w:rFonts w:hint="eastAsia" w:ascii="仿宋" w:hAnsi="仿宋" w:eastAsia="仿宋" w:cs="仿宋"/>
          <w:b w:val="0"/>
          <w:bCs w:val="0"/>
          <w:sz w:val="32"/>
          <w:szCs w:val="32"/>
          <w:lang w:val="en-US" w:eastAsia="zh-CN"/>
        </w:rPr>
        <w:t>住宿和餐饮业营业额增长12.2%。</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b/>
          <w:bCs/>
          <w:sz w:val="32"/>
          <w:szCs w:val="32"/>
          <w:shd w:val="clear" w:fill="FFFFFF"/>
        </w:rPr>
      </w:pPr>
      <w:r>
        <w:rPr>
          <w:rFonts w:hint="eastAsia" w:ascii="仿宋" w:hAnsi="仿宋" w:eastAsia="仿宋" w:cs="仿宋"/>
          <w:b/>
          <w:bCs/>
          <w:sz w:val="32"/>
          <w:szCs w:val="32"/>
          <w:shd w:val="clear" w:fill="FFFFFF"/>
          <w:lang w:eastAsia="zh-CN"/>
        </w:rPr>
        <w:t>（二）</w:t>
      </w:r>
      <w:r>
        <w:rPr>
          <w:rFonts w:hint="eastAsia" w:ascii="仿宋" w:hAnsi="仿宋" w:eastAsia="仿宋" w:cs="仿宋"/>
          <w:b/>
          <w:bCs/>
          <w:sz w:val="32"/>
          <w:szCs w:val="32"/>
          <w:shd w:val="clear" w:fill="FFFFFF"/>
        </w:rPr>
        <w:t>需求保持平稳增长</w:t>
      </w:r>
    </w:p>
    <w:p>
      <w:pPr>
        <w:pStyle w:val="4"/>
        <w:overflowPunct w:val="0"/>
        <w:spacing w:line="540" w:lineRule="exact"/>
        <w:ind w:firstLine="643" w:firstLineChars="200"/>
        <w:rPr>
          <w:rFonts w:ascii="仿宋" w:hAnsi="仿宋" w:eastAsia="仿宋"/>
          <w:sz w:val="32"/>
          <w:szCs w:val="32"/>
        </w:rPr>
      </w:pPr>
      <w:r>
        <w:rPr>
          <w:rFonts w:hint="eastAsia" w:ascii="仿宋" w:hAnsi="仿宋" w:eastAsia="仿宋" w:cs="仿宋"/>
          <w:b/>
          <w:bCs/>
          <w:sz w:val="32"/>
          <w:szCs w:val="32"/>
          <w:shd w:val="clear" w:fill="FFFFFF"/>
        </w:rPr>
        <w:t>固定资产投资增长</w:t>
      </w:r>
      <w:r>
        <w:rPr>
          <w:rFonts w:hint="eastAsia" w:ascii="仿宋" w:hAnsi="仿宋" w:eastAsia="仿宋" w:cs="仿宋"/>
          <w:b/>
          <w:bCs/>
          <w:sz w:val="32"/>
          <w:szCs w:val="32"/>
          <w:shd w:val="clear" w:fill="FFFFFF"/>
          <w:lang w:eastAsia="zh-CN"/>
        </w:rPr>
        <w:t>较快</w:t>
      </w:r>
      <w:r>
        <w:rPr>
          <w:rFonts w:hint="eastAsia" w:ascii="仿宋" w:hAnsi="仿宋" w:eastAsia="仿宋" w:cs="仿宋"/>
          <w:b/>
          <w:bCs/>
          <w:sz w:val="32"/>
          <w:szCs w:val="32"/>
          <w:shd w:val="clear" w:fill="FFFFFF"/>
        </w:rPr>
        <w:t>。</w:t>
      </w:r>
      <w:r>
        <w:rPr>
          <w:rFonts w:hint="eastAsia" w:ascii="仿宋" w:hAnsi="仿宋" w:eastAsia="仿宋" w:cs="仿宋"/>
          <w:sz w:val="32"/>
          <w:szCs w:val="32"/>
          <w:shd w:val="clear" w:fill="FFFFFF"/>
        </w:rPr>
        <w:t>前三季度，全</w:t>
      </w:r>
      <w:r>
        <w:rPr>
          <w:rFonts w:hint="eastAsia" w:ascii="仿宋" w:hAnsi="仿宋" w:eastAsia="仿宋" w:cs="仿宋"/>
          <w:sz w:val="32"/>
          <w:szCs w:val="32"/>
          <w:shd w:val="clear" w:fill="FFFFFF"/>
          <w:lang w:eastAsia="zh-CN"/>
        </w:rPr>
        <w:t>区</w:t>
      </w:r>
      <w:r>
        <w:rPr>
          <w:rFonts w:hint="eastAsia" w:ascii="仿宋" w:hAnsi="仿宋" w:eastAsia="仿宋" w:cs="仿宋"/>
          <w:sz w:val="32"/>
          <w:szCs w:val="32"/>
          <w:shd w:val="clear" w:fill="FFFFFF"/>
        </w:rPr>
        <w:t>固定资产投资同比增长</w:t>
      </w:r>
      <w:r>
        <w:rPr>
          <w:rFonts w:hint="eastAsia" w:ascii="仿宋" w:hAnsi="仿宋" w:eastAsia="仿宋" w:cs="仿宋"/>
          <w:sz w:val="32"/>
          <w:szCs w:val="32"/>
          <w:shd w:val="clear" w:fill="FFFFFF"/>
          <w:lang w:val="en-US" w:eastAsia="zh-CN"/>
        </w:rPr>
        <w:t>35.7</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增速高于全市平均增速</w:t>
      </w:r>
      <w:r>
        <w:rPr>
          <w:rFonts w:hint="eastAsia" w:ascii="仿宋" w:hAnsi="仿宋" w:eastAsia="仿宋" w:cs="仿宋"/>
          <w:sz w:val="32"/>
          <w:szCs w:val="32"/>
          <w:shd w:val="clear" w:fill="FFFFFF"/>
          <w:lang w:val="en-US" w:eastAsia="zh-CN"/>
        </w:rPr>
        <w:t>20.3个百分点，列全市第2</w:t>
      </w:r>
      <w:r>
        <w:rPr>
          <w:rFonts w:ascii="仿宋" w:hAnsi="仿宋" w:eastAsia="仿宋"/>
          <w:sz w:val="32"/>
          <w:szCs w:val="32"/>
        </w:rPr>
        <w:t>。制造业、基础设施和房地产投资分别增长14.4%、13.1%和8</w:t>
      </w:r>
      <w:r>
        <w:rPr>
          <w:rFonts w:hint="eastAsia" w:ascii="仿宋" w:hAnsi="仿宋" w:eastAsia="仿宋"/>
          <w:sz w:val="32"/>
          <w:szCs w:val="32"/>
          <w:lang w:val="en-US" w:eastAsia="zh-CN"/>
        </w:rPr>
        <w:t>5.3</w:t>
      </w:r>
      <w:r>
        <w:rPr>
          <w:rFonts w:ascii="仿宋" w:hAnsi="仿宋" w:eastAsia="仿宋"/>
          <w:sz w:val="32"/>
          <w:szCs w:val="32"/>
        </w:rPr>
        <w:t>%。</w:t>
      </w:r>
      <w:r>
        <w:rPr>
          <w:rFonts w:hint="eastAsia" w:ascii="仿宋" w:hAnsi="仿宋" w:eastAsia="仿宋"/>
          <w:sz w:val="32"/>
          <w:szCs w:val="32"/>
          <w:lang w:eastAsia="zh-CN"/>
        </w:rPr>
        <w:t>大项目完成投资占总投资的比重高达</w:t>
      </w:r>
      <w:r>
        <w:rPr>
          <w:rFonts w:hint="eastAsia" w:ascii="仿宋" w:hAnsi="仿宋" w:eastAsia="仿宋"/>
          <w:sz w:val="32"/>
          <w:szCs w:val="32"/>
          <w:lang w:val="en-US" w:eastAsia="zh-CN"/>
        </w:rPr>
        <w:t>97.2%，其中亿元以上项目完成投资占总投资的比重达95.3%，</w:t>
      </w:r>
      <w:r>
        <w:rPr>
          <w:rFonts w:ascii="仿宋" w:hAnsi="仿宋" w:eastAsia="仿宋"/>
          <w:sz w:val="32"/>
          <w:szCs w:val="32"/>
        </w:rPr>
        <w:t>在建施工大项目226个</w:t>
      </w:r>
      <w:r>
        <w:rPr>
          <w:rFonts w:hint="eastAsia" w:ascii="仿宋" w:hAnsi="仿宋" w:eastAsia="仿宋"/>
          <w:sz w:val="32"/>
          <w:szCs w:val="32"/>
        </w:rPr>
        <w:t>（5000万以上）</w:t>
      </w:r>
      <w:r>
        <w:rPr>
          <w:rFonts w:ascii="仿宋" w:hAnsi="仿宋" w:eastAsia="仿宋"/>
          <w:sz w:val="32"/>
          <w:szCs w:val="32"/>
        </w:rPr>
        <w:t>，增长42.1%</w:t>
      </w:r>
      <w:r>
        <w:rPr>
          <w:rFonts w:hint="eastAsia" w:ascii="仿宋" w:hAnsi="仿宋" w:eastAsia="仿宋"/>
          <w:sz w:val="32"/>
          <w:szCs w:val="32"/>
          <w:lang w:eastAsia="zh-CN"/>
        </w:rPr>
        <w:t>，</w:t>
      </w:r>
      <w:r>
        <w:rPr>
          <w:rFonts w:hint="eastAsia" w:ascii="仿宋" w:hAnsi="仿宋" w:eastAsia="仿宋" w:cs="仿宋"/>
          <w:b w:val="0"/>
          <w:bCs w:val="0"/>
          <w:sz w:val="32"/>
          <w:szCs w:val="32"/>
          <w:lang w:val="en-US" w:eastAsia="zh-CN"/>
        </w:rPr>
        <w:t>支撑作用明显。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shd w:val="clear" w:fill="FFFFFF"/>
        </w:rPr>
        <w:t>消费品市场平稳运行。</w:t>
      </w:r>
      <w:r>
        <w:rPr>
          <w:rFonts w:hint="eastAsia" w:ascii="仿宋" w:hAnsi="仿宋" w:eastAsia="仿宋" w:cs="仿宋"/>
          <w:sz w:val="32"/>
          <w:szCs w:val="32"/>
          <w:shd w:val="clear" w:fill="FFFFFF"/>
        </w:rPr>
        <w:t>社会消费品零售总额</w:t>
      </w:r>
      <w:r>
        <w:rPr>
          <w:rFonts w:hint="eastAsia" w:ascii="仿宋" w:hAnsi="仿宋" w:eastAsia="仿宋" w:cs="仿宋"/>
          <w:sz w:val="32"/>
          <w:szCs w:val="32"/>
          <w:shd w:val="clear" w:fill="FFFFFF"/>
          <w:lang w:val="en-US" w:eastAsia="zh-CN"/>
        </w:rPr>
        <w:t>90.49</w:t>
      </w:r>
      <w:r>
        <w:rPr>
          <w:rFonts w:hint="eastAsia" w:ascii="仿宋" w:hAnsi="仿宋" w:eastAsia="仿宋" w:cs="仿宋"/>
          <w:sz w:val="32"/>
          <w:szCs w:val="32"/>
          <w:shd w:val="clear" w:fill="FFFFFF"/>
        </w:rPr>
        <w:t>亿元，同比增长</w:t>
      </w:r>
      <w:r>
        <w:rPr>
          <w:rFonts w:hint="eastAsia" w:ascii="仿宋" w:hAnsi="仿宋" w:eastAsia="仿宋" w:cs="仿宋"/>
          <w:sz w:val="32"/>
          <w:szCs w:val="32"/>
          <w:shd w:val="clear" w:fill="FFFFFF"/>
          <w:lang w:val="en-US" w:eastAsia="zh-CN"/>
        </w:rPr>
        <w:t>7.1</w:t>
      </w:r>
      <w:r>
        <w:rPr>
          <w:rFonts w:hint="eastAsia" w:ascii="仿宋" w:hAnsi="仿宋" w:eastAsia="仿宋" w:cs="仿宋"/>
          <w:sz w:val="32"/>
          <w:szCs w:val="32"/>
          <w:shd w:val="clear" w:fill="FFFFFF"/>
        </w:rPr>
        <w:t>%。消费升级类商品销售快速增长，</w:t>
      </w:r>
      <w:r>
        <w:rPr>
          <w:rFonts w:hint="eastAsia" w:ascii="仿宋" w:hAnsi="仿宋" w:eastAsia="仿宋" w:cs="仿宋"/>
          <w:b w:val="0"/>
          <w:bCs w:val="0"/>
          <w:sz w:val="32"/>
          <w:szCs w:val="32"/>
          <w:lang w:val="en-US" w:eastAsia="zh-CN"/>
        </w:rPr>
        <w:t>其中汽车类零售额完成9.60亿元，同比增长10.6%，占比56.9%；家用电器和音像器材类增长104.4%；书报杂志类增长14.5%。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sz w:val="32"/>
          <w:szCs w:val="32"/>
          <w:shd w:val="clear" w:fill="FFFFFF"/>
        </w:rPr>
      </w:pPr>
      <w:r>
        <w:rPr>
          <w:rFonts w:hint="eastAsia" w:ascii="仿宋" w:hAnsi="仿宋" w:eastAsia="仿宋" w:cs="仿宋"/>
          <w:b/>
          <w:bCs/>
          <w:sz w:val="32"/>
          <w:szCs w:val="32"/>
          <w:shd w:val="clear" w:fill="FFFFFF"/>
        </w:rPr>
        <w:t>对外经贸增长加快。</w:t>
      </w:r>
      <w:r>
        <w:rPr>
          <w:rFonts w:hint="eastAsia" w:ascii="仿宋" w:hAnsi="仿宋" w:eastAsia="仿宋" w:cs="仿宋"/>
          <w:sz w:val="32"/>
          <w:szCs w:val="32"/>
          <w:shd w:val="clear" w:fill="FFFFFF"/>
        </w:rPr>
        <w:t>全</w:t>
      </w:r>
      <w:r>
        <w:rPr>
          <w:rFonts w:hint="eastAsia" w:ascii="仿宋" w:hAnsi="仿宋" w:eastAsia="仿宋" w:cs="仿宋"/>
          <w:sz w:val="32"/>
          <w:szCs w:val="32"/>
          <w:shd w:val="clear" w:fill="FFFFFF"/>
          <w:lang w:eastAsia="zh-CN"/>
        </w:rPr>
        <w:t>区进</w:t>
      </w:r>
      <w:r>
        <w:rPr>
          <w:rFonts w:hint="eastAsia" w:ascii="仿宋" w:hAnsi="仿宋" w:eastAsia="仿宋" w:cs="仿宋"/>
          <w:sz w:val="32"/>
          <w:szCs w:val="32"/>
          <w:shd w:val="clear" w:fill="FFFFFF"/>
        </w:rPr>
        <w:t>出口总值</w:t>
      </w:r>
      <w:r>
        <w:rPr>
          <w:rFonts w:hint="eastAsia" w:ascii="仿宋" w:hAnsi="仿宋" w:eastAsia="仿宋" w:cs="仿宋"/>
          <w:sz w:val="32"/>
          <w:szCs w:val="32"/>
          <w:shd w:val="clear" w:fill="FFFFFF"/>
          <w:lang w:val="en-US" w:eastAsia="zh-CN"/>
        </w:rPr>
        <w:t>135.06</w:t>
      </w:r>
      <w:r>
        <w:rPr>
          <w:rFonts w:hint="eastAsia" w:ascii="仿宋" w:hAnsi="仿宋" w:eastAsia="仿宋" w:cs="仿宋"/>
          <w:sz w:val="32"/>
          <w:szCs w:val="32"/>
          <w:shd w:val="clear" w:fill="FFFFFF"/>
        </w:rPr>
        <w:t>亿元，</w:t>
      </w:r>
      <w:r>
        <w:rPr>
          <w:rFonts w:hint="eastAsia" w:ascii="仿宋" w:hAnsi="仿宋" w:eastAsia="仿宋" w:cs="仿宋"/>
          <w:sz w:val="32"/>
          <w:szCs w:val="32"/>
          <w:shd w:val="clear" w:fill="FFFFFF"/>
          <w:lang w:eastAsia="zh-CN"/>
        </w:rPr>
        <w:t>同比</w:t>
      </w:r>
      <w:r>
        <w:rPr>
          <w:rFonts w:hint="eastAsia" w:ascii="仿宋" w:hAnsi="仿宋" w:eastAsia="仿宋" w:cs="仿宋"/>
          <w:sz w:val="32"/>
          <w:szCs w:val="32"/>
          <w:shd w:val="clear" w:fill="FFFFFF"/>
        </w:rPr>
        <w:t>增长</w:t>
      </w:r>
      <w:r>
        <w:rPr>
          <w:rFonts w:hint="eastAsia" w:ascii="仿宋" w:hAnsi="仿宋" w:eastAsia="仿宋" w:cs="仿宋"/>
          <w:sz w:val="32"/>
          <w:szCs w:val="32"/>
          <w:shd w:val="clear" w:fill="FFFFFF"/>
          <w:lang w:val="en-US" w:eastAsia="zh-CN"/>
        </w:rPr>
        <w:t>18.4</w:t>
      </w:r>
      <w:r>
        <w:rPr>
          <w:rFonts w:hint="eastAsia" w:ascii="仿宋" w:hAnsi="仿宋" w:eastAsia="仿宋" w:cs="仿宋"/>
          <w:sz w:val="32"/>
          <w:szCs w:val="32"/>
          <w:shd w:val="clear" w:fill="FFFFFF"/>
        </w:rPr>
        <w:t>%，同比加快</w:t>
      </w:r>
      <w:r>
        <w:rPr>
          <w:rFonts w:hint="eastAsia" w:ascii="仿宋" w:hAnsi="仿宋" w:eastAsia="仿宋" w:cs="仿宋"/>
          <w:sz w:val="32"/>
          <w:szCs w:val="32"/>
          <w:shd w:val="clear" w:fill="FFFFFF"/>
          <w:lang w:val="en-US" w:eastAsia="zh-CN"/>
        </w:rPr>
        <w:t>26.9</w:t>
      </w:r>
      <w:r>
        <w:rPr>
          <w:rFonts w:hint="eastAsia" w:ascii="仿宋" w:hAnsi="仿宋" w:eastAsia="仿宋" w:cs="仿宋"/>
          <w:sz w:val="32"/>
          <w:szCs w:val="32"/>
          <w:shd w:val="clear" w:fill="FFFFFF"/>
        </w:rPr>
        <w:t>个百分点。其中，出口总值</w:t>
      </w:r>
      <w:r>
        <w:rPr>
          <w:rFonts w:hint="eastAsia" w:ascii="仿宋" w:hAnsi="仿宋" w:eastAsia="仿宋" w:cs="仿宋"/>
          <w:sz w:val="32"/>
          <w:szCs w:val="32"/>
          <w:shd w:val="clear" w:fill="FFFFFF"/>
          <w:lang w:val="en-US" w:eastAsia="zh-CN"/>
        </w:rPr>
        <w:t>104.61</w:t>
      </w:r>
      <w:r>
        <w:rPr>
          <w:rFonts w:hint="eastAsia" w:ascii="仿宋" w:hAnsi="仿宋" w:eastAsia="仿宋" w:cs="仿宋"/>
          <w:sz w:val="32"/>
          <w:szCs w:val="32"/>
          <w:shd w:val="clear" w:fill="FFFFFF"/>
        </w:rPr>
        <w:t>亿元，增长</w:t>
      </w:r>
      <w:r>
        <w:rPr>
          <w:rFonts w:hint="eastAsia" w:ascii="仿宋" w:hAnsi="仿宋" w:eastAsia="仿宋" w:cs="仿宋"/>
          <w:sz w:val="32"/>
          <w:szCs w:val="32"/>
          <w:shd w:val="clear" w:fill="FFFFFF"/>
          <w:lang w:val="en-US" w:eastAsia="zh-CN"/>
        </w:rPr>
        <w:t>24.6</w:t>
      </w:r>
      <w:r>
        <w:rPr>
          <w:rFonts w:hint="eastAsia" w:ascii="仿宋" w:hAnsi="仿宋" w:eastAsia="仿宋" w:cs="仿宋"/>
          <w:sz w:val="32"/>
          <w:szCs w:val="32"/>
          <w:shd w:val="clear" w:fill="FFFFFF"/>
        </w:rPr>
        <w:t>%，加快</w:t>
      </w:r>
      <w:r>
        <w:rPr>
          <w:rFonts w:hint="eastAsia" w:ascii="仿宋" w:hAnsi="仿宋" w:eastAsia="仿宋" w:cs="仿宋"/>
          <w:sz w:val="32"/>
          <w:szCs w:val="32"/>
          <w:shd w:val="clear" w:fill="FFFFFF"/>
          <w:lang w:val="en-US" w:eastAsia="zh-CN"/>
        </w:rPr>
        <w:t>18.9</w:t>
      </w:r>
      <w:r>
        <w:rPr>
          <w:rFonts w:hint="eastAsia" w:ascii="仿宋" w:hAnsi="仿宋" w:eastAsia="仿宋" w:cs="仿宋"/>
          <w:sz w:val="32"/>
          <w:szCs w:val="32"/>
          <w:shd w:val="clear" w:fill="FFFFFF"/>
        </w:rPr>
        <w:t>个百分点。</w:t>
      </w:r>
      <w:r>
        <w:rPr>
          <w:rFonts w:hint="eastAsia" w:ascii="仿宋" w:hAnsi="仿宋" w:eastAsia="仿宋" w:cs="仿宋"/>
          <w:sz w:val="32"/>
          <w:szCs w:val="32"/>
          <w:shd w:val="clear" w:fill="FFFFFF"/>
          <w:lang w:eastAsia="zh-CN"/>
        </w:rPr>
        <w:t>进口总额</w:t>
      </w:r>
      <w:r>
        <w:rPr>
          <w:rFonts w:hint="eastAsia" w:ascii="仿宋" w:hAnsi="仿宋" w:eastAsia="仿宋" w:cs="仿宋"/>
          <w:sz w:val="32"/>
          <w:szCs w:val="32"/>
          <w:shd w:val="clear" w:fill="FFFFFF"/>
          <w:lang w:val="en-US" w:eastAsia="zh-CN"/>
        </w:rPr>
        <w:t>30.45亿元，增长1.3%，加快35.5个百分点。</w:t>
      </w:r>
      <w:r>
        <w:rPr>
          <w:rFonts w:hint="eastAsia" w:ascii="仿宋" w:hAnsi="仿宋" w:eastAsia="仿宋" w:cs="仿宋"/>
          <w:sz w:val="32"/>
          <w:szCs w:val="32"/>
          <w:shd w:val="clear" w:fill="FFFFFF"/>
        </w:rPr>
        <w:t>全</w:t>
      </w:r>
      <w:r>
        <w:rPr>
          <w:rFonts w:hint="eastAsia" w:ascii="仿宋" w:hAnsi="仿宋" w:eastAsia="仿宋" w:cs="仿宋"/>
          <w:sz w:val="32"/>
          <w:szCs w:val="32"/>
          <w:shd w:val="clear" w:fill="FFFFFF"/>
          <w:lang w:eastAsia="zh-CN"/>
        </w:rPr>
        <w:t>区</w:t>
      </w:r>
      <w:r>
        <w:rPr>
          <w:rFonts w:hint="eastAsia" w:ascii="仿宋" w:hAnsi="仿宋" w:eastAsia="仿宋" w:cs="仿宋"/>
          <w:sz w:val="32"/>
          <w:szCs w:val="32"/>
          <w:shd w:val="clear" w:fill="FFFFFF"/>
        </w:rPr>
        <w:t>实际利用外资</w:t>
      </w:r>
      <w:r>
        <w:rPr>
          <w:rFonts w:hint="eastAsia" w:ascii="仿宋" w:hAnsi="仿宋" w:eastAsia="仿宋" w:cs="仿宋"/>
          <w:sz w:val="32"/>
          <w:szCs w:val="32"/>
          <w:shd w:val="clear" w:fill="FFFFFF"/>
          <w:lang w:val="en-US" w:eastAsia="zh-CN"/>
        </w:rPr>
        <w:t>3000万</w:t>
      </w:r>
      <w:r>
        <w:rPr>
          <w:rFonts w:hint="eastAsia" w:ascii="仿宋" w:hAnsi="仿宋" w:eastAsia="仿宋" w:cs="仿宋"/>
          <w:sz w:val="32"/>
          <w:szCs w:val="32"/>
          <w:shd w:val="clear" w:fill="FFFFFF"/>
        </w:rPr>
        <w:t>美元</w:t>
      </w:r>
      <w:r>
        <w:rPr>
          <w:rFonts w:hint="eastAsia" w:ascii="仿宋" w:hAnsi="仿宋" w:eastAsia="仿宋" w:cs="仿宋"/>
          <w:sz w:val="32"/>
          <w:szCs w:val="32"/>
          <w:shd w:val="clear" w:fill="FFFFFF"/>
          <w:lang w:eastAsia="zh-CN"/>
        </w:rPr>
        <w:t>，完成全年任务的</w:t>
      </w:r>
      <w:r>
        <w:rPr>
          <w:rFonts w:hint="eastAsia" w:ascii="仿宋" w:hAnsi="仿宋" w:eastAsia="仿宋" w:cs="仿宋"/>
          <w:sz w:val="32"/>
          <w:szCs w:val="32"/>
          <w:shd w:val="clear" w:fill="FFFFFF"/>
          <w:lang w:val="en-US" w:eastAsia="zh-CN"/>
        </w:rPr>
        <w:t>97.1%</w:t>
      </w:r>
      <w:r>
        <w:rPr>
          <w:rFonts w:hint="eastAsia" w:ascii="仿宋" w:hAnsi="仿宋" w:eastAsia="仿宋" w:cs="仿宋"/>
          <w:sz w:val="32"/>
          <w:szCs w:val="32"/>
          <w:shd w:val="clear" w:fill="FFFFFF"/>
        </w:rPr>
        <w:t>。</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right="0" w:firstLine="643" w:firstLineChars="200"/>
        <w:jc w:val="both"/>
        <w:textAlignment w:val="auto"/>
        <w:rPr>
          <w:rFonts w:hint="eastAsia" w:ascii="仿宋" w:hAnsi="仿宋" w:eastAsia="仿宋" w:cs="仿宋"/>
          <w:b/>
          <w:bCs/>
          <w:sz w:val="32"/>
          <w:szCs w:val="32"/>
          <w:shd w:val="clear" w:fill="FFFFFF"/>
        </w:rPr>
      </w:pPr>
      <w:r>
        <w:rPr>
          <w:rFonts w:hint="eastAsia" w:ascii="仿宋" w:hAnsi="仿宋" w:eastAsia="仿宋" w:cs="仿宋"/>
          <w:b/>
          <w:bCs/>
          <w:sz w:val="32"/>
          <w:szCs w:val="32"/>
          <w:shd w:val="clear" w:fill="FFFFFF"/>
          <w:lang w:eastAsia="zh-CN"/>
        </w:rPr>
        <w:t>（三）</w:t>
      </w:r>
      <w:r>
        <w:rPr>
          <w:rFonts w:hint="eastAsia" w:ascii="仿宋" w:hAnsi="仿宋" w:eastAsia="仿宋" w:cs="仿宋"/>
          <w:b/>
          <w:bCs/>
          <w:sz w:val="32"/>
          <w:szCs w:val="32"/>
          <w:shd w:val="clear" w:fill="FFFFFF"/>
        </w:rPr>
        <w:t>民生福祉持续增强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sz w:val="32"/>
          <w:szCs w:val="32"/>
          <w:shd w:val="clear" w:fill="FFFFFF"/>
          <w:lang w:val="en-US" w:eastAsia="zh-CN"/>
        </w:rPr>
      </w:pPr>
      <w:r>
        <w:rPr>
          <w:rFonts w:hint="eastAsia" w:ascii="仿宋" w:hAnsi="仿宋" w:eastAsia="仿宋" w:cs="仿宋"/>
          <w:b/>
          <w:bCs/>
          <w:sz w:val="32"/>
          <w:szCs w:val="32"/>
          <w:shd w:val="clear" w:fill="FFFFFF"/>
        </w:rPr>
        <w:t>居民收入稳步增长。</w:t>
      </w:r>
      <w:r>
        <w:rPr>
          <w:rFonts w:hint="eastAsia" w:ascii="仿宋" w:hAnsi="仿宋" w:eastAsia="仿宋" w:cs="仿宋"/>
          <w:b w:val="0"/>
          <w:bCs w:val="0"/>
          <w:sz w:val="32"/>
          <w:szCs w:val="32"/>
          <w:shd w:val="clear" w:fill="FFFFFF"/>
          <w:lang w:eastAsia="zh-CN"/>
        </w:rPr>
        <w:t>前三季度，</w:t>
      </w:r>
      <w:r>
        <w:rPr>
          <w:rFonts w:hint="eastAsia" w:ascii="仿宋" w:hAnsi="仿宋" w:eastAsia="仿宋" w:cs="仿宋"/>
          <w:sz w:val="32"/>
          <w:szCs w:val="32"/>
          <w:shd w:val="clear" w:fill="FFFFFF"/>
        </w:rPr>
        <w:t>全</w:t>
      </w:r>
      <w:r>
        <w:rPr>
          <w:rFonts w:hint="eastAsia" w:ascii="仿宋" w:hAnsi="仿宋" w:eastAsia="仿宋" w:cs="仿宋"/>
          <w:sz w:val="32"/>
          <w:szCs w:val="32"/>
          <w:shd w:val="clear" w:fill="FFFFFF"/>
          <w:lang w:eastAsia="zh-CN"/>
        </w:rPr>
        <w:t>区</w:t>
      </w:r>
      <w:r>
        <w:rPr>
          <w:rFonts w:hint="eastAsia" w:ascii="仿宋" w:hAnsi="仿宋" w:eastAsia="仿宋" w:cs="仿宋"/>
          <w:sz w:val="32"/>
          <w:szCs w:val="32"/>
          <w:shd w:val="clear" w:fill="FFFFFF"/>
        </w:rPr>
        <w:t>居民人均可支配收入</w:t>
      </w:r>
      <w:r>
        <w:rPr>
          <w:rFonts w:hint="eastAsia" w:ascii="仿宋" w:hAnsi="仿宋" w:eastAsia="仿宋" w:cs="仿宋"/>
          <w:sz w:val="32"/>
          <w:szCs w:val="32"/>
          <w:shd w:val="clear" w:fill="FFFFFF"/>
          <w:lang w:val="en-US" w:eastAsia="zh-CN"/>
        </w:rPr>
        <w:t>23694</w:t>
      </w:r>
      <w:r>
        <w:rPr>
          <w:rFonts w:hint="eastAsia" w:ascii="仿宋" w:hAnsi="仿宋" w:eastAsia="仿宋" w:cs="仿宋"/>
          <w:sz w:val="32"/>
          <w:szCs w:val="32"/>
          <w:shd w:val="clear" w:fill="FFFFFF"/>
        </w:rPr>
        <w:t>元，同比增长</w:t>
      </w:r>
      <w:r>
        <w:rPr>
          <w:rFonts w:hint="eastAsia" w:ascii="仿宋" w:hAnsi="仿宋" w:eastAsia="仿宋" w:cs="仿宋"/>
          <w:sz w:val="32"/>
          <w:szCs w:val="32"/>
          <w:shd w:val="clear" w:fill="FFFFFF"/>
          <w:lang w:val="en-US" w:eastAsia="zh-CN"/>
        </w:rPr>
        <w:t>6.6</w:t>
      </w:r>
      <w:r>
        <w:rPr>
          <w:rFonts w:hint="eastAsia" w:ascii="仿宋" w:hAnsi="仿宋" w:eastAsia="仿宋" w:cs="仿宋"/>
          <w:sz w:val="32"/>
          <w:szCs w:val="32"/>
          <w:shd w:val="clear" w:fill="FFFFFF"/>
        </w:rPr>
        <w:t>%。按常住地分，城镇居民人均可支配收入</w:t>
      </w:r>
      <w:r>
        <w:rPr>
          <w:rFonts w:hint="eastAsia" w:ascii="仿宋" w:hAnsi="仿宋" w:eastAsia="仿宋" w:cs="仿宋"/>
          <w:sz w:val="32"/>
          <w:szCs w:val="32"/>
          <w:shd w:val="clear" w:fill="FFFFFF"/>
          <w:lang w:val="en-US" w:eastAsia="zh-CN"/>
        </w:rPr>
        <w:t>28832</w:t>
      </w:r>
      <w:r>
        <w:rPr>
          <w:rFonts w:hint="eastAsia" w:ascii="仿宋" w:hAnsi="仿宋" w:eastAsia="仿宋" w:cs="仿宋"/>
          <w:sz w:val="32"/>
          <w:szCs w:val="32"/>
          <w:shd w:val="clear" w:fill="FFFFFF"/>
        </w:rPr>
        <w:t>元，增长</w:t>
      </w:r>
      <w:r>
        <w:rPr>
          <w:rFonts w:hint="eastAsia" w:ascii="仿宋" w:hAnsi="仿宋" w:eastAsia="仿宋" w:cs="仿宋"/>
          <w:sz w:val="32"/>
          <w:szCs w:val="32"/>
          <w:shd w:val="clear" w:fill="FFFFFF"/>
          <w:lang w:val="en-US" w:eastAsia="zh-CN"/>
        </w:rPr>
        <w:t>6.7</w:t>
      </w:r>
      <w:r>
        <w:rPr>
          <w:rFonts w:hint="eastAsia" w:ascii="仿宋" w:hAnsi="仿宋" w:eastAsia="仿宋" w:cs="仿宋"/>
          <w:sz w:val="32"/>
          <w:szCs w:val="32"/>
          <w:shd w:val="clear" w:fill="FFFFFF"/>
        </w:rPr>
        <w:t>%；农村居民人均可支配收入</w:t>
      </w:r>
      <w:r>
        <w:rPr>
          <w:rFonts w:hint="eastAsia" w:ascii="仿宋" w:hAnsi="仿宋" w:eastAsia="仿宋" w:cs="仿宋"/>
          <w:sz w:val="32"/>
          <w:szCs w:val="32"/>
          <w:shd w:val="clear" w:fill="FFFFFF"/>
          <w:lang w:val="en-US" w:eastAsia="zh-CN"/>
        </w:rPr>
        <w:t>18778</w:t>
      </w:r>
      <w:r>
        <w:rPr>
          <w:rFonts w:hint="eastAsia" w:ascii="仿宋" w:hAnsi="仿宋" w:eastAsia="仿宋" w:cs="仿宋"/>
          <w:sz w:val="32"/>
          <w:szCs w:val="32"/>
          <w:shd w:val="clear" w:fill="FFFFFF"/>
        </w:rPr>
        <w:t>元，增长</w:t>
      </w:r>
      <w:r>
        <w:rPr>
          <w:rFonts w:hint="eastAsia" w:ascii="仿宋" w:hAnsi="仿宋" w:eastAsia="仿宋" w:cs="仿宋"/>
          <w:sz w:val="32"/>
          <w:szCs w:val="32"/>
          <w:shd w:val="clear" w:fill="FFFFFF"/>
          <w:lang w:val="en-US" w:eastAsia="zh-CN"/>
        </w:rPr>
        <w:t>6.5</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工资性收入增长较快，是最重要收入来源，城镇居民工资性收入同比增长</w:t>
      </w:r>
      <w:r>
        <w:rPr>
          <w:rFonts w:hint="eastAsia" w:ascii="仿宋" w:hAnsi="仿宋" w:eastAsia="仿宋" w:cs="仿宋"/>
          <w:sz w:val="32"/>
          <w:szCs w:val="32"/>
          <w:shd w:val="clear" w:fill="FFFFFF"/>
          <w:lang w:val="en-US" w:eastAsia="zh-CN"/>
        </w:rPr>
        <w:t>8.4%，</w:t>
      </w:r>
      <w:r>
        <w:rPr>
          <w:rFonts w:hint="eastAsia" w:ascii="仿宋" w:hAnsi="仿宋" w:eastAsia="仿宋" w:cs="仿宋"/>
          <w:sz w:val="32"/>
          <w:szCs w:val="32"/>
          <w:shd w:val="clear" w:fill="FFFFFF"/>
          <w:lang w:eastAsia="zh-CN"/>
        </w:rPr>
        <w:t>占比</w:t>
      </w:r>
      <w:r>
        <w:rPr>
          <w:rFonts w:hint="eastAsia" w:ascii="仿宋" w:hAnsi="仿宋" w:eastAsia="仿宋" w:cs="仿宋"/>
          <w:sz w:val="32"/>
          <w:szCs w:val="32"/>
          <w:shd w:val="clear" w:fill="FFFFFF"/>
          <w:lang w:val="en-US" w:eastAsia="zh-CN"/>
        </w:rPr>
        <w:t>58.1%；农村居民工资性收入增长7.0%，占比65.1%。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b w:val="0"/>
          <w:bCs w:val="0"/>
          <w:sz w:val="32"/>
          <w:szCs w:val="32"/>
          <w:shd w:val="clear" w:fill="FFFFFF"/>
          <w:lang w:val="en-US" w:eastAsia="zh-CN"/>
        </w:rPr>
      </w:pPr>
      <w:r>
        <w:rPr>
          <w:rFonts w:hint="eastAsia" w:ascii="仿宋" w:hAnsi="仿宋" w:eastAsia="仿宋" w:cs="仿宋"/>
          <w:b/>
          <w:bCs/>
          <w:sz w:val="32"/>
          <w:szCs w:val="32"/>
          <w:shd w:val="clear" w:fill="FFFFFF"/>
          <w:lang w:val="en-US" w:eastAsia="zh-CN"/>
        </w:rPr>
        <w:t>居民就业和生活保障更加有力。</w:t>
      </w:r>
      <w:r>
        <w:rPr>
          <w:rFonts w:hint="eastAsia" w:ascii="仿宋" w:hAnsi="仿宋" w:eastAsia="仿宋" w:cs="仿宋"/>
          <w:b w:val="0"/>
          <w:bCs w:val="0"/>
          <w:sz w:val="32"/>
          <w:szCs w:val="32"/>
          <w:shd w:val="clear" w:fill="FFFFFF"/>
          <w:lang w:val="en-US" w:eastAsia="zh-CN"/>
        </w:rPr>
        <w:t>前三季度，新提供就业岗位11580个，完成年计划的128.6%，同比增长18.5%。城乡居民养老保险期末缴费人数115380人，比去年同期增加5974人，享受人数46833人，增加2504人。</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黑体" w:hAnsi="黑体" w:eastAsia="黑体" w:cs="黑体"/>
          <w:sz w:val="32"/>
          <w:szCs w:val="32"/>
          <w:shd w:val="clear" w:fill="FFFFFF"/>
          <w:lang w:eastAsia="zh-CN"/>
        </w:rPr>
      </w:pPr>
      <w:r>
        <w:rPr>
          <w:rFonts w:hint="eastAsia" w:ascii="黑体" w:hAnsi="黑体" w:eastAsia="黑体" w:cs="黑体"/>
          <w:sz w:val="32"/>
          <w:szCs w:val="32"/>
          <w:shd w:val="clear" w:fill="FFFFFF"/>
          <w:lang w:eastAsia="zh-CN"/>
        </w:rPr>
        <w:t>二、高质量发展稳步推进</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b/>
          <w:bCs/>
          <w:sz w:val="32"/>
          <w:szCs w:val="32"/>
          <w:shd w:val="clear" w:fill="FFFFFF"/>
        </w:rPr>
      </w:pPr>
      <w:r>
        <w:rPr>
          <w:rFonts w:hint="eastAsia" w:ascii="仿宋" w:hAnsi="仿宋" w:eastAsia="仿宋" w:cs="仿宋"/>
          <w:b/>
          <w:bCs/>
          <w:sz w:val="32"/>
          <w:szCs w:val="32"/>
          <w:shd w:val="clear" w:fill="FFFFFF"/>
          <w:lang w:eastAsia="zh-CN"/>
        </w:rPr>
        <w:t>（一）经济</w:t>
      </w:r>
      <w:r>
        <w:rPr>
          <w:rFonts w:hint="eastAsia" w:ascii="仿宋" w:hAnsi="仿宋" w:eastAsia="仿宋" w:cs="仿宋"/>
          <w:b/>
          <w:bCs/>
          <w:sz w:val="32"/>
          <w:szCs w:val="32"/>
          <w:shd w:val="clear" w:fill="FFFFFF"/>
        </w:rPr>
        <w:t>结构优化提升</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sz w:val="32"/>
          <w:szCs w:val="32"/>
          <w:shd w:val="clear" w:fill="FFFFFF"/>
          <w:lang w:val="en-US" w:eastAsia="zh-CN"/>
        </w:rPr>
      </w:pPr>
      <w:r>
        <w:rPr>
          <w:rFonts w:hint="eastAsia" w:ascii="仿宋" w:hAnsi="仿宋" w:eastAsia="仿宋" w:cs="仿宋"/>
          <w:b/>
          <w:bCs/>
          <w:sz w:val="32"/>
          <w:szCs w:val="32"/>
          <w:shd w:val="clear" w:fill="FFFFFF"/>
          <w:lang w:eastAsia="zh-CN"/>
        </w:rPr>
        <w:t>工业</w:t>
      </w:r>
      <w:r>
        <w:rPr>
          <w:rFonts w:hint="eastAsia" w:ascii="仿宋" w:hAnsi="仿宋" w:eastAsia="仿宋" w:cs="仿宋"/>
          <w:b/>
          <w:bCs/>
          <w:sz w:val="32"/>
          <w:szCs w:val="32"/>
          <w:shd w:val="clear" w:fill="FFFFFF"/>
        </w:rPr>
        <w:t>结构调整优化。</w:t>
      </w:r>
      <w:r>
        <w:rPr>
          <w:rFonts w:hint="eastAsia" w:ascii="仿宋" w:hAnsi="仿宋" w:eastAsia="仿宋" w:cs="仿宋"/>
          <w:b w:val="0"/>
          <w:bCs w:val="0"/>
          <w:sz w:val="32"/>
          <w:szCs w:val="32"/>
          <w:shd w:val="clear" w:fill="FFFFFF"/>
          <w:lang w:eastAsia="zh-CN"/>
        </w:rPr>
        <w:t>前三季度规模以上工业总产值中，黑色金属冶炼和压延加工业产值同比增速</w:t>
      </w:r>
      <w:r>
        <w:rPr>
          <w:rFonts w:hint="eastAsia" w:ascii="仿宋" w:hAnsi="仿宋" w:eastAsia="仿宋" w:cs="仿宋"/>
          <w:b w:val="0"/>
          <w:bCs w:val="0"/>
          <w:sz w:val="32"/>
          <w:szCs w:val="32"/>
          <w:shd w:val="clear" w:fill="FFFFFF"/>
          <w:lang w:val="en-US" w:eastAsia="zh-CN"/>
        </w:rPr>
        <w:t>低于全部规模以上工业增速2.6个百分点，占比下降1.4个百分点；</w:t>
      </w:r>
      <w:r>
        <w:rPr>
          <w:rFonts w:hint="eastAsia" w:ascii="仿宋" w:hAnsi="仿宋" w:eastAsia="仿宋" w:cs="仿宋"/>
          <w:sz w:val="32"/>
          <w:szCs w:val="32"/>
          <w:shd w:val="clear" w:fill="FFFFFF"/>
        </w:rPr>
        <w:t>装备制造业</w:t>
      </w:r>
      <w:r>
        <w:rPr>
          <w:rFonts w:hint="eastAsia" w:ascii="仿宋" w:hAnsi="仿宋" w:eastAsia="仿宋" w:cs="仿宋"/>
          <w:sz w:val="32"/>
          <w:szCs w:val="32"/>
          <w:shd w:val="clear" w:fill="FFFFFF"/>
          <w:lang w:eastAsia="zh-CN"/>
        </w:rPr>
        <w:t>总产值同比增长</w:t>
      </w:r>
      <w:r>
        <w:rPr>
          <w:rFonts w:hint="eastAsia" w:ascii="仿宋" w:hAnsi="仿宋" w:eastAsia="仿宋" w:cs="仿宋"/>
          <w:sz w:val="32"/>
          <w:szCs w:val="32"/>
          <w:shd w:val="clear" w:fill="FFFFFF"/>
          <w:lang w:val="en-US" w:eastAsia="zh-CN"/>
        </w:rPr>
        <w:t>8.7%，</w:t>
      </w:r>
      <w:r>
        <w:rPr>
          <w:rFonts w:hint="eastAsia" w:ascii="仿宋" w:hAnsi="仿宋" w:eastAsia="仿宋" w:cs="仿宋"/>
          <w:sz w:val="32"/>
          <w:szCs w:val="32"/>
          <w:shd w:val="clear" w:fill="FFFFFF"/>
        </w:rPr>
        <w:t>增速快于</w:t>
      </w:r>
      <w:r>
        <w:rPr>
          <w:rFonts w:hint="eastAsia" w:ascii="仿宋" w:hAnsi="仿宋" w:eastAsia="仿宋" w:cs="仿宋"/>
          <w:b w:val="0"/>
          <w:bCs w:val="0"/>
          <w:sz w:val="32"/>
          <w:szCs w:val="32"/>
          <w:shd w:val="clear" w:fill="FFFFFF"/>
          <w:lang w:eastAsia="zh-CN"/>
        </w:rPr>
        <w:t>黑色金属冶炼和压延加工业</w:t>
      </w:r>
      <w:r>
        <w:rPr>
          <w:rFonts w:hint="eastAsia" w:ascii="仿宋" w:hAnsi="仿宋" w:eastAsia="仿宋" w:cs="仿宋"/>
          <w:sz w:val="32"/>
          <w:szCs w:val="32"/>
          <w:shd w:val="clear" w:fill="FFFFFF"/>
        </w:rPr>
        <w:t>2.2个百分点，家具制造业</w:t>
      </w:r>
      <w:r>
        <w:rPr>
          <w:rFonts w:hint="eastAsia" w:ascii="仿宋" w:hAnsi="仿宋" w:eastAsia="仿宋" w:cs="仿宋"/>
          <w:sz w:val="32"/>
          <w:szCs w:val="32"/>
          <w:shd w:val="clear" w:fill="FFFFFF"/>
          <w:lang w:eastAsia="zh-CN"/>
        </w:rPr>
        <w:t>、非金属矿物制品业、化学原料和化学制品制造业分别增长</w:t>
      </w:r>
      <w:r>
        <w:rPr>
          <w:rFonts w:hint="eastAsia" w:ascii="仿宋" w:hAnsi="仿宋" w:eastAsia="仿宋" w:cs="仿宋"/>
          <w:sz w:val="32"/>
          <w:szCs w:val="32"/>
          <w:shd w:val="clear" w:fill="FFFFFF"/>
          <w:lang w:val="en-US" w:eastAsia="zh-CN"/>
        </w:rPr>
        <w:t>18.0%、17.3%和15.5%，均保持两位数增长。静海规模以上工业偏黑偏重的结构有所好转。</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宋体" w:hAnsi="宋体" w:eastAsia="宋体" w:cs="宋体"/>
          <w:sz w:val="24"/>
          <w:szCs w:val="24"/>
          <w:shd w:val="clear" w:fill="FFFFFF"/>
          <w:lang w:val="en-US"/>
        </w:rPr>
      </w:pPr>
      <w:r>
        <w:rPr>
          <w:rFonts w:hint="eastAsia" w:ascii="仿宋" w:hAnsi="仿宋" w:eastAsia="仿宋" w:cs="仿宋"/>
          <w:b/>
          <w:bCs/>
          <w:sz w:val="32"/>
          <w:szCs w:val="32"/>
          <w:shd w:val="clear" w:fill="FFFFFF"/>
          <w:lang w:eastAsia="zh-CN"/>
        </w:rPr>
        <w:t>民营经济增长快。</w:t>
      </w:r>
      <w:r>
        <w:rPr>
          <w:rFonts w:hint="eastAsia" w:ascii="仿宋" w:hAnsi="仿宋" w:eastAsia="仿宋" w:cs="仿宋"/>
          <w:b w:val="0"/>
          <w:bCs w:val="0"/>
          <w:sz w:val="32"/>
          <w:szCs w:val="32"/>
          <w:shd w:val="clear" w:fill="FFFFFF"/>
          <w:lang w:eastAsia="zh-CN"/>
        </w:rPr>
        <w:t>前三季度，民营经济增加值完成</w:t>
      </w:r>
      <w:r>
        <w:rPr>
          <w:rFonts w:hint="eastAsia" w:ascii="仿宋" w:hAnsi="仿宋" w:eastAsia="仿宋" w:cs="仿宋"/>
          <w:b w:val="0"/>
          <w:bCs w:val="0"/>
          <w:sz w:val="32"/>
          <w:szCs w:val="32"/>
          <w:shd w:val="clear" w:fill="FFFFFF"/>
          <w:lang w:val="en-US" w:eastAsia="zh-CN"/>
        </w:rPr>
        <w:t>461.54亿元，同比增长6.7%，增速高于全部地区生产总值1.6个百分点，在全市排第2位。本年发展民营市场主体10885个，同比增长20.6%；其中私营企业新增3743家，同比增长10.2%。</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b/>
          <w:bCs/>
          <w:sz w:val="32"/>
          <w:szCs w:val="32"/>
          <w:shd w:val="clear" w:fill="FFFFFF"/>
        </w:rPr>
      </w:pPr>
      <w:r>
        <w:rPr>
          <w:rFonts w:hint="eastAsia" w:ascii="仿宋" w:hAnsi="仿宋" w:eastAsia="仿宋" w:cs="仿宋"/>
          <w:b/>
          <w:bCs/>
          <w:sz w:val="32"/>
          <w:szCs w:val="32"/>
          <w:shd w:val="clear" w:fill="FFFFFF"/>
          <w:lang w:eastAsia="zh-CN"/>
        </w:rPr>
        <w:t>（二）</w:t>
      </w:r>
      <w:r>
        <w:rPr>
          <w:rFonts w:hint="eastAsia" w:ascii="仿宋" w:hAnsi="仿宋" w:eastAsia="仿宋" w:cs="仿宋"/>
          <w:b/>
          <w:bCs/>
          <w:sz w:val="32"/>
          <w:szCs w:val="32"/>
          <w:shd w:val="clear" w:fill="FFFFFF"/>
        </w:rPr>
        <w:t>新动能加快培育壮大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sz w:val="32"/>
          <w:szCs w:val="32"/>
          <w:shd w:val="clear" w:fill="FFFFFF"/>
        </w:rPr>
        <w:t> </w:t>
      </w:r>
      <w:r>
        <w:rPr>
          <w:rFonts w:hint="eastAsia" w:ascii="仿宋" w:hAnsi="仿宋" w:eastAsia="仿宋" w:cs="仿宋"/>
          <w:b/>
          <w:bCs/>
          <w:sz w:val="32"/>
          <w:szCs w:val="32"/>
          <w:lang w:val="en-US" w:eastAsia="zh-CN"/>
        </w:rPr>
        <w:t>工业高质量发展趋势良好。</w:t>
      </w:r>
      <w:r>
        <w:rPr>
          <w:rFonts w:hint="eastAsia" w:ascii="仿宋" w:hAnsi="仿宋" w:eastAsia="仿宋" w:cs="仿宋"/>
          <w:b w:val="0"/>
          <w:bCs w:val="0"/>
          <w:sz w:val="32"/>
          <w:szCs w:val="32"/>
          <w:lang w:val="en-US" w:eastAsia="zh-CN"/>
        </w:rPr>
        <w:t>前三季度规模以上战略新兴工业总产值完成120.1亿元，同比增长8.1%，其中生物产业、新能源汽车、节能环保产业分别增长17.3%、24.1%和23.2%。高技术制造业产值完成10.2亿元，同比增长74.0%，新增银隆新能源、瑞龙泽通等高技术制造业企业；计算机、通信和其他电子设备制造业产值增长123.6%；医药制造业产值增长35.2%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b/>
          <w:bCs/>
          <w:sz w:val="32"/>
          <w:szCs w:val="32"/>
          <w:shd w:val="clear" w:fill="FFFFFF"/>
          <w:lang w:val="en-US"/>
        </w:rPr>
      </w:pPr>
      <w:r>
        <w:rPr>
          <w:rFonts w:hint="eastAsia" w:ascii="仿宋" w:hAnsi="仿宋" w:eastAsia="仿宋" w:cs="仿宋"/>
          <w:b/>
          <w:bCs/>
          <w:sz w:val="32"/>
          <w:szCs w:val="32"/>
          <w:shd w:val="clear" w:fill="FFFFFF"/>
          <w:lang w:eastAsia="zh-CN"/>
        </w:rPr>
        <w:t>装配式制造产业项目进展顺利。</w:t>
      </w:r>
      <w:r>
        <w:rPr>
          <w:rFonts w:hint="eastAsia" w:ascii="仿宋" w:hAnsi="仿宋" w:eastAsia="仿宋" w:cs="仿宋"/>
          <w:b w:val="0"/>
          <w:bCs w:val="0"/>
          <w:sz w:val="32"/>
          <w:szCs w:val="32"/>
          <w:shd w:val="clear" w:fill="FFFFFF"/>
          <w:lang w:eastAsia="zh-CN"/>
        </w:rPr>
        <w:t>前三季度，装配式建筑</w:t>
      </w:r>
      <w:r>
        <w:rPr>
          <w:rFonts w:hint="eastAsia" w:ascii="仿宋" w:hAnsi="仿宋" w:eastAsia="仿宋" w:cs="仿宋"/>
          <w:b w:val="0"/>
          <w:bCs w:val="0"/>
          <w:sz w:val="32"/>
          <w:szCs w:val="32"/>
          <w:shd w:val="clear" w:fill="FFFFFF"/>
          <w:lang w:val="en-US" w:eastAsia="zh-CN"/>
        </w:rPr>
        <w:t>9个重点项目前9个月统计的大项目投资累计完成3.38亿元，1家已经投产，3家到2020年具备生产能力。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sz w:val="32"/>
          <w:szCs w:val="32"/>
          <w:shd w:val="clear" w:fill="FFFFFF"/>
          <w:lang w:val="en-US" w:eastAsia="zh-CN"/>
        </w:rPr>
      </w:pPr>
      <w:r>
        <w:rPr>
          <w:rFonts w:hint="eastAsia" w:ascii="仿宋" w:hAnsi="仿宋" w:eastAsia="仿宋" w:cs="仿宋"/>
          <w:b/>
          <w:bCs/>
          <w:sz w:val="32"/>
          <w:szCs w:val="32"/>
          <w:shd w:val="clear" w:fill="FFFFFF"/>
        </w:rPr>
        <w:t>新业态蓬勃发展。</w:t>
      </w:r>
      <w:r>
        <w:rPr>
          <w:rFonts w:hint="eastAsia" w:ascii="仿宋" w:hAnsi="仿宋" w:eastAsia="仿宋" w:cs="仿宋"/>
          <w:b w:val="0"/>
          <w:bCs w:val="0"/>
          <w:sz w:val="32"/>
          <w:szCs w:val="32"/>
          <w:shd w:val="clear" w:fill="FFFFFF"/>
          <w:lang w:eastAsia="zh-CN"/>
        </w:rPr>
        <w:t>前三季度，</w:t>
      </w:r>
      <w:r>
        <w:rPr>
          <w:rFonts w:hint="eastAsia" w:ascii="仿宋" w:hAnsi="仿宋" w:eastAsia="仿宋" w:cs="仿宋"/>
          <w:sz w:val="32"/>
          <w:szCs w:val="32"/>
          <w:shd w:val="clear" w:fill="FFFFFF"/>
        </w:rPr>
        <w:t>快递业务量</w:t>
      </w:r>
      <w:r>
        <w:rPr>
          <w:rFonts w:hint="eastAsia" w:ascii="仿宋" w:hAnsi="仿宋" w:eastAsia="仿宋" w:cs="仿宋"/>
          <w:sz w:val="32"/>
          <w:szCs w:val="32"/>
          <w:shd w:val="clear" w:fill="FFFFFF"/>
          <w:lang w:val="en-US" w:eastAsia="zh-CN"/>
        </w:rPr>
        <w:t>705.26万</w:t>
      </w:r>
      <w:r>
        <w:rPr>
          <w:rFonts w:hint="eastAsia" w:ascii="仿宋" w:hAnsi="仿宋" w:eastAsia="仿宋" w:cs="仿宋"/>
          <w:sz w:val="32"/>
          <w:szCs w:val="32"/>
          <w:shd w:val="clear" w:fill="FFFFFF"/>
        </w:rPr>
        <w:t>件，增长</w:t>
      </w:r>
      <w:r>
        <w:rPr>
          <w:rFonts w:hint="eastAsia" w:ascii="仿宋" w:hAnsi="仿宋" w:eastAsia="仿宋" w:cs="仿宋"/>
          <w:sz w:val="32"/>
          <w:szCs w:val="32"/>
          <w:shd w:val="clear" w:fill="FFFFFF"/>
          <w:lang w:val="en-US" w:eastAsia="zh-CN"/>
        </w:rPr>
        <w:t>54.2</w:t>
      </w:r>
      <w:r>
        <w:rPr>
          <w:rFonts w:hint="eastAsia" w:ascii="仿宋" w:hAnsi="仿宋" w:eastAsia="仿宋" w:cs="仿宋"/>
          <w:sz w:val="32"/>
          <w:szCs w:val="32"/>
          <w:shd w:val="clear" w:fill="FFFFFF"/>
        </w:rPr>
        <w:t>%；快递业务收入8848.62</w:t>
      </w:r>
      <w:r>
        <w:rPr>
          <w:rFonts w:hint="eastAsia" w:ascii="仿宋" w:hAnsi="仿宋" w:eastAsia="仿宋" w:cs="仿宋"/>
          <w:sz w:val="32"/>
          <w:szCs w:val="32"/>
          <w:shd w:val="clear" w:fill="FFFFFF"/>
          <w:lang w:eastAsia="zh-CN"/>
        </w:rPr>
        <w:t>万</w:t>
      </w:r>
      <w:r>
        <w:rPr>
          <w:rFonts w:hint="eastAsia" w:ascii="仿宋" w:hAnsi="仿宋" w:eastAsia="仿宋" w:cs="仿宋"/>
          <w:sz w:val="32"/>
          <w:szCs w:val="32"/>
          <w:shd w:val="clear" w:fill="FFFFFF"/>
        </w:rPr>
        <w:t>元，增长3</w:t>
      </w:r>
      <w:r>
        <w:rPr>
          <w:rFonts w:hint="eastAsia" w:ascii="仿宋" w:hAnsi="仿宋" w:eastAsia="仿宋" w:cs="仿宋"/>
          <w:sz w:val="32"/>
          <w:szCs w:val="32"/>
          <w:shd w:val="clear" w:fill="FFFFFF"/>
          <w:lang w:val="en-US" w:eastAsia="zh-CN"/>
        </w:rPr>
        <w:t>8.0</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限额以上批发零售业销售额中，</w:t>
      </w:r>
      <w:r>
        <w:rPr>
          <w:rFonts w:hint="eastAsia" w:ascii="仿宋" w:hAnsi="仿宋" w:eastAsia="仿宋" w:cs="仿宋"/>
          <w:sz w:val="32"/>
          <w:szCs w:val="32"/>
          <w:shd w:val="clear" w:fill="FFFFFF"/>
        </w:rPr>
        <w:t>通过公共网络实现的商品销售</w:t>
      </w:r>
      <w:r>
        <w:rPr>
          <w:rFonts w:hint="eastAsia" w:ascii="仿宋" w:hAnsi="仿宋" w:eastAsia="仿宋" w:cs="仿宋"/>
          <w:sz w:val="32"/>
          <w:szCs w:val="32"/>
          <w:shd w:val="clear" w:fill="FFFFFF"/>
          <w:lang w:eastAsia="zh-CN"/>
        </w:rPr>
        <w:t>额同比增长</w:t>
      </w:r>
      <w:r>
        <w:rPr>
          <w:rFonts w:hint="eastAsia" w:ascii="仿宋" w:hAnsi="仿宋" w:eastAsia="仿宋" w:cs="仿宋"/>
          <w:sz w:val="32"/>
          <w:szCs w:val="32"/>
          <w:shd w:val="clear" w:fill="FFFFFF"/>
          <w:lang w:val="en-US" w:eastAsia="zh-CN"/>
        </w:rPr>
        <w:t>5.1%，高于全部限额以上销售额增速14.1%。限额以上住宿餐饮业通过互联网实现的客房收入占全部限上餐费收入的22.6%，比去年同期提高了15.7个百分点。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b w:val="0"/>
          <w:bCs w:val="0"/>
          <w:sz w:val="32"/>
          <w:szCs w:val="32"/>
          <w:shd w:val="clear" w:fill="FFFFFF"/>
          <w:lang w:val="en-US" w:eastAsia="zh-CN"/>
        </w:rPr>
      </w:pPr>
      <w:r>
        <w:rPr>
          <w:rFonts w:hint="eastAsia" w:ascii="仿宋" w:hAnsi="仿宋" w:eastAsia="仿宋" w:cs="仿宋"/>
          <w:b/>
          <w:bCs/>
          <w:sz w:val="32"/>
          <w:szCs w:val="32"/>
          <w:shd w:val="clear" w:fill="FFFFFF"/>
          <w:lang w:eastAsia="zh-CN"/>
        </w:rPr>
        <w:t>科技创新成效显著。</w:t>
      </w:r>
      <w:r>
        <w:rPr>
          <w:rFonts w:hint="eastAsia" w:ascii="仿宋" w:hAnsi="仿宋" w:eastAsia="仿宋" w:cs="仿宋"/>
          <w:b w:val="0"/>
          <w:bCs w:val="0"/>
          <w:sz w:val="32"/>
          <w:szCs w:val="32"/>
          <w:shd w:val="clear" w:fill="FFFFFF"/>
          <w:lang w:eastAsia="zh-CN"/>
        </w:rPr>
        <w:t>前三季度，本年新增国家级科技型中小企业评价入库</w:t>
      </w:r>
      <w:r>
        <w:rPr>
          <w:rFonts w:hint="eastAsia" w:ascii="仿宋" w:hAnsi="仿宋" w:eastAsia="仿宋" w:cs="仿宋"/>
          <w:b w:val="0"/>
          <w:bCs w:val="0"/>
          <w:sz w:val="32"/>
          <w:szCs w:val="32"/>
          <w:shd w:val="clear" w:fill="FFFFFF"/>
          <w:lang w:val="en-US" w:eastAsia="zh-CN"/>
        </w:rPr>
        <w:t>91家，新认定市级高新技术企业59家。本年新增瞪羚企业18家，新增雏鹰企业20家。专利申请数2987件，其中实用新型专利2472件。专利授权数1606件，实用新型专利1471件。</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b/>
          <w:bCs/>
          <w:sz w:val="32"/>
          <w:szCs w:val="32"/>
          <w:shd w:val="clear" w:fill="FFFFFF"/>
        </w:rPr>
      </w:pPr>
      <w:r>
        <w:rPr>
          <w:rFonts w:hint="eastAsia" w:ascii="仿宋" w:hAnsi="仿宋" w:eastAsia="仿宋" w:cs="仿宋"/>
          <w:b/>
          <w:bCs/>
          <w:sz w:val="32"/>
          <w:szCs w:val="32"/>
          <w:shd w:val="clear" w:fill="FFFFFF"/>
          <w:lang w:eastAsia="zh-CN"/>
        </w:rPr>
        <w:t>（三）</w:t>
      </w:r>
      <w:r>
        <w:rPr>
          <w:rFonts w:hint="eastAsia" w:ascii="仿宋" w:hAnsi="仿宋" w:eastAsia="仿宋" w:cs="仿宋"/>
          <w:b/>
          <w:bCs/>
          <w:sz w:val="32"/>
          <w:szCs w:val="32"/>
          <w:shd w:val="clear" w:fill="FFFFFF"/>
        </w:rPr>
        <w:t>运行质量不断提高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宋体" w:hAnsi="宋体" w:eastAsia="仿宋" w:cs="宋体"/>
          <w:sz w:val="32"/>
          <w:szCs w:val="24"/>
          <w:shd w:val="clear" w:fill="FFFFFF"/>
          <w:lang w:val="en-US" w:eastAsia="zh-CN"/>
        </w:rPr>
      </w:pPr>
      <w:r>
        <w:rPr>
          <w:rFonts w:hint="eastAsia" w:ascii="宋体" w:hAnsi="宋体" w:eastAsia="仿宋" w:cs="宋体"/>
          <w:b/>
          <w:bCs/>
          <w:sz w:val="32"/>
          <w:szCs w:val="24"/>
          <w:shd w:val="clear" w:fill="FFFFFF"/>
        </w:rPr>
        <w:t>供给侧结构性改革持续加力。</w:t>
      </w:r>
      <w:r>
        <w:rPr>
          <w:rFonts w:hint="eastAsia" w:ascii="宋体" w:hAnsi="宋体" w:eastAsia="仿宋" w:cs="宋体"/>
          <w:sz w:val="32"/>
          <w:szCs w:val="24"/>
          <w:shd w:val="clear" w:fill="FFFFFF"/>
        </w:rPr>
        <w:t>前三季度</w:t>
      </w:r>
      <w:r>
        <w:rPr>
          <w:rFonts w:hint="eastAsia" w:ascii="宋体" w:hAnsi="宋体" w:eastAsia="仿宋" w:cs="宋体"/>
          <w:sz w:val="32"/>
          <w:szCs w:val="24"/>
          <w:shd w:val="clear" w:fill="FFFFFF"/>
          <w:lang w:eastAsia="zh-CN"/>
        </w:rPr>
        <w:t>，规模以上工业百元主营业务成本</w:t>
      </w:r>
      <w:r>
        <w:rPr>
          <w:rFonts w:hint="eastAsia" w:ascii="宋体" w:hAnsi="宋体" w:eastAsia="仿宋" w:cs="宋体"/>
          <w:sz w:val="32"/>
          <w:szCs w:val="24"/>
          <w:shd w:val="clear" w:fill="FFFFFF"/>
          <w:lang w:val="en-US" w:eastAsia="zh-CN"/>
        </w:rPr>
        <w:t>95.44元，比去年同期下降1.12元，</w:t>
      </w:r>
      <w:r>
        <w:rPr>
          <w:rFonts w:hint="eastAsia" w:ascii="宋体" w:hAnsi="宋体" w:eastAsia="仿宋" w:cs="宋体"/>
          <w:sz w:val="32"/>
          <w:szCs w:val="24"/>
          <w:shd w:val="clear" w:fill="FFFFFF"/>
        </w:rPr>
        <w:t>规模以上工业资产负债率为</w:t>
      </w:r>
      <w:r>
        <w:rPr>
          <w:rFonts w:hint="eastAsia" w:ascii="宋体" w:hAnsi="宋体" w:eastAsia="仿宋" w:cs="宋体"/>
          <w:sz w:val="32"/>
          <w:szCs w:val="24"/>
          <w:shd w:val="clear" w:fill="FFFFFF"/>
          <w:lang w:val="en-US" w:eastAsia="zh-CN"/>
        </w:rPr>
        <w:t>73.05</w:t>
      </w:r>
      <w:r>
        <w:rPr>
          <w:rFonts w:hint="default" w:ascii="宋体" w:hAnsi="宋体" w:eastAsia="仿宋" w:cs="宋体"/>
          <w:sz w:val="32"/>
          <w:szCs w:val="24"/>
          <w:shd w:val="clear" w:fill="FFFFFF"/>
        </w:rPr>
        <w:t>%</w:t>
      </w:r>
      <w:r>
        <w:rPr>
          <w:rFonts w:hint="eastAsia" w:ascii="宋体" w:hAnsi="宋体" w:eastAsia="仿宋" w:cs="宋体"/>
          <w:sz w:val="32"/>
          <w:szCs w:val="24"/>
          <w:shd w:val="clear" w:fill="FFFFFF"/>
        </w:rPr>
        <w:t>，比</w:t>
      </w:r>
      <w:r>
        <w:rPr>
          <w:rFonts w:hint="eastAsia" w:ascii="宋体" w:hAnsi="宋体" w:eastAsia="仿宋" w:cs="宋体"/>
          <w:sz w:val="32"/>
          <w:szCs w:val="24"/>
          <w:shd w:val="clear" w:fill="FFFFFF"/>
          <w:lang w:eastAsia="zh-CN"/>
        </w:rPr>
        <w:t>去年同期下降</w:t>
      </w:r>
      <w:r>
        <w:rPr>
          <w:rFonts w:hint="eastAsia" w:ascii="宋体" w:hAnsi="宋体" w:eastAsia="仿宋" w:cs="宋体"/>
          <w:sz w:val="32"/>
          <w:szCs w:val="24"/>
          <w:shd w:val="clear" w:fill="FFFFFF"/>
          <w:lang w:val="en-US" w:eastAsia="zh-CN"/>
        </w:rPr>
        <w:t>1.2个百分点。</w:t>
      </w:r>
      <w:r>
        <w:rPr>
          <w:rFonts w:hint="eastAsia" w:ascii="宋体" w:hAnsi="宋体" w:eastAsia="仿宋" w:cs="宋体"/>
          <w:sz w:val="32"/>
          <w:szCs w:val="24"/>
          <w:shd w:val="clear" w:fill="FFFFFF"/>
        </w:rPr>
        <w:t>商品房待售面积</w:t>
      </w:r>
      <w:r>
        <w:rPr>
          <w:rFonts w:hint="eastAsia" w:ascii="宋体" w:hAnsi="宋体" w:eastAsia="仿宋" w:cs="宋体"/>
          <w:sz w:val="32"/>
          <w:szCs w:val="24"/>
          <w:shd w:val="clear" w:fill="FFFFFF"/>
          <w:lang w:val="en-US" w:eastAsia="zh-CN"/>
        </w:rPr>
        <w:t>40.66</w:t>
      </w:r>
      <w:r>
        <w:rPr>
          <w:rFonts w:hint="eastAsia" w:ascii="宋体" w:hAnsi="宋体" w:eastAsia="仿宋" w:cs="宋体"/>
          <w:sz w:val="32"/>
          <w:szCs w:val="24"/>
          <w:shd w:val="clear" w:fill="FFFFFF"/>
        </w:rPr>
        <w:t>万平方米，比</w:t>
      </w:r>
      <w:r>
        <w:rPr>
          <w:rFonts w:hint="eastAsia" w:ascii="宋体" w:hAnsi="宋体" w:eastAsia="仿宋" w:cs="宋体"/>
          <w:sz w:val="32"/>
          <w:szCs w:val="24"/>
          <w:shd w:val="clear" w:fill="FFFFFF"/>
          <w:lang w:val="en-US" w:eastAsia="zh-CN"/>
        </w:rPr>
        <w:t>6</w:t>
      </w:r>
      <w:r>
        <w:rPr>
          <w:rFonts w:hint="eastAsia" w:ascii="宋体" w:hAnsi="宋体" w:eastAsia="仿宋" w:cs="宋体"/>
          <w:sz w:val="32"/>
          <w:szCs w:val="24"/>
          <w:shd w:val="clear" w:fill="FFFFFF"/>
        </w:rPr>
        <w:t>月末减少</w:t>
      </w:r>
      <w:r>
        <w:rPr>
          <w:rFonts w:hint="default" w:ascii="宋体" w:hAnsi="宋体" w:eastAsia="仿宋" w:cs="宋体"/>
          <w:sz w:val="32"/>
          <w:szCs w:val="24"/>
          <w:shd w:val="clear" w:fill="FFFFFF"/>
        </w:rPr>
        <w:t>3.</w:t>
      </w:r>
      <w:r>
        <w:rPr>
          <w:rFonts w:hint="eastAsia" w:ascii="宋体" w:hAnsi="宋体" w:eastAsia="仿宋" w:cs="宋体"/>
          <w:sz w:val="32"/>
          <w:szCs w:val="24"/>
          <w:shd w:val="clear" w:fill="FFFFFF"/>
          <w:lang w:val="en-US" w:eastAsia="zh-CN"/>
        </w:rPr>
        <w:t>3</w:t>
      </w:r>
      <w:r>
        <w:rPr>
          <w:rFonts w:hint="eastAsia" w:ascii="宋体" w:hAnsi="宋体" w:eastAsia="仿宋" w:cs="宋体"/>
          <w:sz w:val="32"/>
          <w:szCs w:val="24"/>
          <w:shd w:val="clear" w:fill="FFFFFF"/>
        </w:rPr>
        <w:t>万平方米。教育领域投资同比</w:t>
      </w:r>
      <w:r>
        <w:rPr>
          <w:rFonts w:hint="eastAsia" w:ascii="宋体" w:hAnsi="宋体" w:eastAsia="仿宋" w:cs="宋体"/>
          <w:sz w:val="32"/>
          <w:szCs w:val="24"/>
          <w:shd w:val="clear" w:fill="FFFFFF"/>
          <w:lang w:eastAsia="zh-CN"/>
        </w:rPr>
        <w:t>增长</w:t>
      </w:r>
      <w:r>
        <w:rPr>
          <w:rFonts w:hint="eastAsia" w:ascii="宋体" w:hAnsi="宋体" w:eastAsia="仿宋" w:cs="宋体"/>
          <w:sz w:val="32"/>
          <w:szCs w:val="24"/>
          <w:shd w:val="clear" w:fill="FFFFFF"/>
          <w:lang w:val="en-US" w:eastAsia="zh-CN"/>
        </w:rPr>
        <w:t>103.3</w:t>
      </w:r>
      <w:r>
        <w:rPr>
          <w:rFonts w:hint="default" w:ascii="宋体" w:hAnsi="宋体" w:eastAsia="仿宋" w:cs="宋体"/>
          <w:sz w:val="32"/>
          <w:szCs w:val="24"/>
          <w:shd w:val="clear" w:fill="FFFFFF"/>
        </w:rPr>
        <w:t>%</w:t>
      </w:r>
      <w:r>
        <w:rPr>
          <w:rFonts w:hint="eastAsia" w:ascii="宋体" w:hAnsi="宋体" w:eastAsia="仿宋" w:cs="宋体"/>
          <w:sz w:val="32"/>
          <w:szCs w:val="24"/>
          <w:shd w:val="clear" w:fill="FFFFFF"/>
          <w:lang w:eastAsia="zh-CN"/>
        </w:rPr>
        <w:t>，</w:t>
      </w:r>
      <w:r>
        <w:rPr>
          <w:rFonts w:hint="eastAsia" w:ascii="宋体" w:hAnsi="宋体" w:eastAsia="仿宋" w:cs="宋体"/>
          <w:sz w:val="32"/>
          <w:szCs w:val="24"/>
          <w:shd w:val="clear" w:fill="FFFFFF"/>
        </w:rPr>
        <w:t>道路</w:t>
      </w:r>
      <w:r>
        <w:rPr>
          <w:rFonts w:hint="eastAsia" w:ascii="宋体" w:hAnsi="宋体" w:eastAsia="仿宋" w:cs="宋体"/>
          <w:sz w:val="32"/>
          <w:szCs w:val="24"/>
          <w:shd w:val="clear" w:fill="FFFFFF"/>
          <w:lang w:eastAsia="zh-CN"/>
        </w:rPr>
        <w:t>投资</w:t>
      </w:r>
      <w:r>
        <w:rPr>
          <w:rFonts w:hint="eastAsia" w:ascii="宋体" w:hAnsi="宋体" w:eastAsia="仿宋" w:cs="宋体"/>
          <w:sz w:val="32"/>
          <w:szCs w:val="24"/>
          <w:shd w:val="clear" w:fill="FFFFFF"/>
          <w:lang w:val="en-US" w:eastAsia="zh-CN"/>
        </w:rPr>
        <w:t>同比增长10.88倍，公共设施管理业设施投资增长23.1%，补齐短板。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宋体" w:hAnsi="宋体" w:eastAsia="仿宋" w:cs="宋体"/>
          <w:b/>
          <w:bCs/>
          <w:sz w:val="32"/>
          <w:szCs w:val="24"/>
          <w:shd w:val="clear" w:fill="FFFFFF"/>
          <w:lang w:val="en-US"/>
        </w:rPr>
      </w:pPr>
      <w:r>
        <w:rPr>
          <w:rFonts w:hint="eastAsia" w:ascii="宋体" w:hAnsi="宋体" w:eastAsia="仿宋" w:cs="宋体"/>
          <w:b/>
          <w:bCs/>
          <w:sz w:val="32"/>
          <w:szCs w:val="24"/>
          <w:shd w:val="clear" w:fill="FFFFFF"/>
          <w:lang w:eastAsia="zh-CN"/>
        </w:rPr>
        <w:t>规模以上工业效益明显提高。</w:t>
      </w:r>
      <w:r>
        <w:rPr>
          <w:rFonts w:hint="eastAsia" w:ascii="宋体" w:hAnsi="宋体" w:eastAsia="仿宋" w:cs="宋体"/>
          <w:b w:val="0"/>
          <w:bCs w:val="0"/>
          <w:sz w:val="32"/>
          <w:szCs w:val="24"/>
          <w:shd w:val="clear" w:fill="FFFFFF"/>
          <w:lang w:eastAsia="zh-CN"/>
        </w:rPr>
        <w:t>随着新的增值税率开始实施，企业负担明显减轻。前三季度，企业利润总额增长</w:t>
      </w:r>
      <w:r>
        <w:rPr>
          <w:rFonts w:hint="eastAsia" w:ascii="宋体" w:hAnsi="宋体" w:eastAsia="仿宋" w:cs="宋体"/>
          <w:b w:val="0"/>
          <w:bCs w:val="0"/>
          <w:sz w:val="32"/>
          <w:szCs w:val="24"/>
          <w:shd w:val="clear" w:fill="FFFFFF"/>
          <w:lang w:val="en-US" w:eastAsia="zh-CN"/>
        </w:rPr>
        <w:t>3.64倍；亏损企业亏损额同比下降29.7%。</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sz w:val="32"/>
          <w:szCs w:val="32"/>
          <w:shd w:val="clear" w:fill="FFFFFF"/>
          <w:lang w:val="en-US" w:eastAsia="zh-CN"/>
        </w:rPr>
      </w:pPr>
      <w:r>
        <w:rPr>
          <w:rFonts w:hint="eastAsia" w:ascii="宋体" w:hAnsi="宋体" w:eastAsia="仿宋" w:cs="宋体"/>
          <w:b/>
          <w:bCs/>
          <w:sz w:val="32"/>
          <w:szCs w:val="24"/>
          <w:shd w:val="clear" w:fill="FFFFFF"/>
        </w:rPr>
        <w:t>绿色发展成效显著。</w:t>
      </w:r>
      <w:r>
        <w:rPr>
          <w:rFonts w:hint="eastAsia" w:ascii="宋体" w:hAnsi="宋体" w:eastAsia="仿宋" w:cs="宋体"/>
          <w:b w:val="0"/>
          <w:bCs w:val="0"/>
          <w:sz w:val="32"/>
          <w:szCs w:val="24"/>
          <w:shd w:val="clear" w:fill="FFFFFF"/>
          <w:lang w:eastAsia="zh-CN"/>
        </w:rPr>
        <w:t>前三季度，</w:t>
      </w:r>
      <w:r>
        <w:rPr>
          <w:rFonts w:hint="eastAsia" w:ascii="宋体" w:hAnsi="宋体" w:eastAsia="仿宋" w:cs="宋体"/>
          <w:sz w:val="32"/>
          <w:szCs w:val="24"/>
          <w:shd w:val="clear" w:fill="FFFFFF"/>
        </w:rPr>
        <w:t>单位</w:t>
      </w:r>
      <w:r>
        <w:rPr>
          <w:rFonts w:hint="eastAsia" w:ascii="宋体" w:hAnsi="宋体" w:eastAsia="仿宋" w:cs="宋体"/>
          <w:sz w:val="32"/>
          <w:szCs w:val="24"/>
          <w:shd w:val="clear" w:fill="FFFFFF"/>
          <w:lang w:eastAsia="zh-CN"/>
        </w:rPr>
        <w:t>地区生产总值</w:t>
      </w:r>
      <w:r>
        <w:rPr>
          <w:rFonts w:hint="eastAsia" w:ascii="宋体" w:hAnsi="宋体" w:eastAsia="仿宋" w:cs="宋体"/>
          <w:sz w:val="32"/>
          <w:szCs w:val="24"/>
          <w:shd w:val="clear" w:fill="FFFFFF"/>
        </w:rPr>
        <w:t>能耗同比下降</w:t>
      </w:r>
      <w:r>
        <w:rPr>
          <w:rFonts w:hint="eastAsia" w:ascii="宋体" w:hAnsi="宋体" w:eastAsia="仿宋" w:cs="宋体"/>
          <w:sz w:val="32"/>
          <w:szCs w:val="24"/>
          <w:shd w:val="clear" w:fill="FFFFFF"/>
          <w:lang w:val="en-US" w:eastAsia="zh-CN"/>
        </w:rPr>
        <w:t>0.98</w:t>
      </w:r>
      <w:r>
        <w:rPr>
          <w:rFonts w:hint="default" w:ascii="宋体" w:hAnsi="宋体" w:eastAsia="仿宋" w:cs="宋体"/>
          <w:sz w:val="32"/>
          <w:szCs w:val="24"/>
          <w:shd w:val="clear" w:fill="FFFFFF"/>
        </w:rPr>
        <w:t>%</w:t>
      </w:r>
      <w:r>
        <w:rPr>
          <w:rFonts w:hint="eastAsia" w:ascii="宋体" w:hAnsi="宋体" w:eastAsia="仿宋" w:cs="宋体"/>
          <w:sz w:val="32"/>
          <w:szCs w:val="24"/>
          <w:shd w:val="clear" w:fill="FFFFFF"/>
        </w:rPr>
        <w:t>，</w:t>
      </w:r>
      <w:r>
        <w:rPr>
          <w:rFonts w:hint="eastAsia" w:ascii="宋体" w:hAnsi="宋体" w:eastAsia="仿宋" w:cs="宋体"/>
          <w:sz w:val="32"/>
          <w:szCs w:val="24"/>
          <w:shd w:val="clear" w:fill="FFFFFF"/>
          <w:lang w:eastAsia="zh-CN"/>
        </w:rPr>
        <w:t>扭转了上半年单位地区生产总值能耗上升的局面。</w:t>
      </w:r>
      <w:r>
        <w:rPr>
          <w:rFonts w:hint="eastAsia" w:ascii="仿宋" w:hAnsi="仿宋" w:eastAsia="仿宋" w:cs="仿宋"/>
          <w:sz w:val="32"/>
          <w:szCs w:val="32"/>
          <w:shd w:val="clear" w:fill="FFFFFF"/>
        </w:rPr>
        <w:t>太阳能发电</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垃圾焚烧发电</w:t>
      </w:r>
      <w:r>
        <w:rPr>
          <w:rFonts w:hint="eastAsia" w:ascii="仿宋" w:hAnsi="仿宋" w:eastAsia="仿宋" w:cs="仿宋"/>
          <w:sz w:val="32"/>
          <w:szCs w:val="32"/>
          <w:shd w:val="clear" w:fill="FFFFFF"/>
          <w:lang w:eastAsia="zh-CN"/>
        </w:rPr>
        <w:t>等</w:t>
      </w:r>
      <w:r>
        <w:rPr>
          <w:rFonts w:hint="eastAsia" w:ascii="仿宋" w:hAnsi="仿宋" w:eastAsia="仿宋" w:cs="仿宋"/>
          <w:sz w:val="32"/>
          <w:szCs w:val="32"/>
          <w:shd w:val="clear" w:fill="FFFFFF"/>
        </w:rPr>
        <w:t>新能源</w:t>
      </w:r>
      <w:r>
        <w:rPr>
          <w:rFonts w:hint="eastAsia" w:ascii="仿宋" w:hAnsi="仿宋" w:eastAsia="仿宋" w:cs="仿宋"/>
          <w:sz w:val="32"/>
          <w:szCs w:val="32"/>
          <w:shd w:val="clear" w:fill="FFFFFF"/>
          <w:lang w:eastAsia="zh-CN"/>
        </w:rPr>
        <w:t>发电设施正在抓紧建设</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空气质量比去年同期明显提高。PM2.5月均浓度为</w:t>
      </w:r>
      <w:r>
        <w:rPr>
          <w:rFonts w:hint="eastAsia" w:ascii="仿宋" w:hAnsi="仿宋" w:eastAsia="仿宋" w:cs="仿宋"/>
          <w:sz w:val="32"/>
          <w:szCs w:val="32"/>
          <w:shd w:val="clear" w:fill="FFFFFF"/>
          <w:lang w:val="en-US" w:eastAsia="zh-CN"/>
        </w:rPr>
        <w:t>48</w:t>
      </w:r>
      <w:r>
        <w:rPr>
          <w:rFonts w:hint="eastAsia" w:ascii="仿宋" w:hAnsi="仿宋" w:eastAsia="仿宋" w:cs="仿宋"/>
          <w:sz w:val="32"/>
          <w:szCs w:val="32"/>
          <w:shd w:val="clear" w:fill="FFFFFF"/>
          <w:lang w:eastAsia="zh-CN"/>
        </w:rPr>
        <w:t>ug/m3，同比下降</w:t>
      </w:r>
      <w:r>
        <w:rPr>
          <w:rFonts w:hint="eastAsia" w:ascii="仿宋" w:hAnsi="仿宋" w:eastAsia="仿宋" w:cs="仿宋"/>
          <w:sz w:val="32"/>
          <w:szCs w:val="32"/>
          <w:shd w:val="clear" w:fill="FFFFFF"/>
          <w:lang w:val="en-US" w:eastAsia="zh-CN"/>
        </w:rPr>
        <w:t>5.9%，空气质量综合指数5.29，同比下降6.0%。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b/>
          <w:bCs/>
          <w:sz w:val="32"/>
          <w:szCs w:val="32"/>
          <w:shd w:val="clear" w:fill="FFFFFF"/>
          <w:lang w:val="en-US" w:eastAsia="zh-CN"/>
        </w:rPr>
      </w:pPr>
      <w:r>
        <w:rPr>
          <w:rFonts w:hint="eastAsia" w:ascii="仿宋" w:hAnsi="仿宋" w:eastAsia="仿宋" w:cs="仿宋"/>
          <w:b/>
          <w:bCs/>
          <w:sz w:val="32"/>
          <w:szCs w:val="32"/>
          <w:shd w:val="clear" w:fill="FFFFFF"/>
          <w:lang w:val="en-US" w:eastAsia="zh-CN"/>
        </w:rPr>
        <w:t>（四）引资和投资对高质量发展的推动加大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lang w:eastAsia="zh-CN"/>
        </w:rPr>
        <w:t>前三季度，</w:t>
      </w:r>
      <w:r>
        <w:rPr>
          <w:rFonts w:hint="eastAsia" w:ascii="仿宋" w:hAnsi="仿宋" w:eastAsia="仿宋" w:cs="仿宋"/>
          <w:sz w:val="32"/>
          <w:szCs w:val="32"/>
          <w:shd w:val="clear" w:fill="FFFFFF"/>
        </w:rPr>
        <w:t>市外内资项目116个，实际到位资金63亿元，占全年75亿元任务的84%，超进度完成任务。</w:t>
      </w:r>
      <w:r>
        <w:rPr>
          <w:rFonts w:hint="eastAsia" w:ascii="仿宋" w:hAnsi="仿宋" w:eastAsia="仿宋" w:cs="仿宋"/>
          <w:sz w:val="32"/>
          <w:szCs w:val="32"/>
        </w:rPr>
        <w:t>从产业看，工业项目</w:t>
      </w:r>
      <w:r>
        <w:rPr>
          <w:rFonts w:hint="eastAsia" w:ascii="仿宋" w:hAnsi="仿宋" w:eastAsia="仿宋" w:cs="仿宋"/>
          <w:sz w:val="32"/>
          <w:szCs w:val="32"/>
          <w:lang w:val="en-US" w:eastAsia="zh-CN"/>
        </w:rPr>
        <w:t>52</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投资额</w:t>
      </w:r>
      <w:r>
        <w:rPr>
          <w:rFonts w:hint="eastAsia" w:ascii="仿宋" w:hAnsi="仿宋" w:eastAsia="仿宋" w:cs="仿宋"/>
          <w:sz w:val="32"/>
          <w:szCs w:val="32"/>
          <w:lang w:val="en-US" w:eastAsia="zh-CN"/>
        </w:rPr>
        <w:t>111.88</w:t>
      </w:r>
      <w:r>
        <w:rPr>
          <w:rFonts w:hint="eastAsia" w:ascii="仿宋" w:hAnsi="仿宋" w:eastAsia="仿宋" w:cs="仿宋"/>
          <w:sz w:val="32"/>
          <w:szCs w:val="32"/>
        </w:rPr>
        <w:t>亿元</w:t>
      </w:r>
      <w:r>
        <w:rPr>
          <w:rFonts w:hint="eastAsia" w:ascii="仿宋" w:hAnsi="仿宋" w:eastAsia="仿宋" w:cs="仿宋"/>
          <w:sz w:val="32"/>
          <w:szCs w:val="32"/>
          <w:lang w:eastAsia="zh-CN"/>
        </w:rPr>
        <w:t>。</w:t>
      </w:r>
      <w:r>
        <w:rPr>
          <w:rFonts w:hint="eastAsia" w:ascii="仿宋" w:hAnsi="仿宋" w:eastAsia="仿宋" w:cs="仿宋"/>
          <w:sz w:val="32"/>
          <w:szCs w:val="32"/>
        </w:rPr>
        <w:t>其中，节能环保项目</w:t>
      </w:r>
      <w:r>
        <w:rPr>
          <w:rFonts w:hint="eastAsia" w:ascii="仿宋" w:hAnsi="仿宋" w:eastAsia="仿宋" w:cs="仿宋"/>
          <w:sz w:val="32"/>
          <w:szCs w:val="32"/>
          <w:lang w:val="en-US" w:eastAsia="zh-CN"/>
        </w:rPr>
        <w:t>13</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投资额</w:t>
      </w:r>
      <w:r>
        <w:rPr>
          <w:rFonts w:hint="eastAsia" w:ascii="仿宋" w:hAnsi="仿宋" w:eastAsia="仿宋" w:cs="仿宋"/>
          <w:sz w:val="32"/>
          <w:szCs w:val="32"/>
          <w:lang w:val="en-US" w:eastAsia="zh-CN"/>
        </w:rPr>
        <w:t>25.8</w:t>
      </w:r>
      <w:r>
        <w:rPr>
          <w:rFonts w:hint="eastAsia" w:ascii="仿宋" w:hAnsi="仿宋" w:eastAsia="仿宋" w:cs="仿宋"/>
          <w:sz w:val="32"/>
          <w:szCs w:val="32"/>
        </w:rPr>
        <w:t>亿元；</w:t>
      </w:r>
      <w:r>
        <w:rPr>
          <w:rFonts w:hint="eastAsia" w:ascii="仿宋" w:hAnsi="仿宋" w:eastAsia="仿宋" w:cs="仿宋"/>
          <w:sz w:val="32"/>
          <w:szCs w:val="32"/>
          <w:lang w:eastAsia="zh-CN"/>
        </w:rPr>
        <w:t>高端装备</w:t>
      </w:r>
      <w:r>
        <w:rPr>
          <w:rFonts w:hint="eastAsia" w:ascii="仿宋" w:hAnsi="仿宋" w:eastAsia="仿宋" w:cs="仿宋"/>
          <w:sz w:val="32"/>
          <w:szCs w:val="32"/>
        </w:rPr>
        <w:t>项目</w:t>
      </w:r>
      <w:r>
        <w:rPr>
          <w:rFonts w:hint="eastAsia" w:ascii="仿宋" w:hAnsi="仿宋" w:eastAsia="仿宋" w:cs="仿宋"/>
          <w:sz w:val="32"/>
          <w:szCs w:val="32"/>
          <w:lang w:val="en-US" w:eastAsia="zh-CN"/>
        </w:rPr>
        <w:t>35</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投资额</w:t>
      </w:r>
      <w:r>
        <w:rPr>
          <w:rFonts w:hint="eastAsia" w:ascii="仿宋" w:hAnsi="仿宋" w:eastAsia="仿宋" w:cs="仿宋"/>
          <w:sz w:val="32"/>
          <w:szCs w:val="32"/>
          <w:lang w:val="en-US" w:eastAsia="zh-CN"/>
        </w:rPr>
        <w:t>74.94</w:t>
      </w:r>
      <w:r>
        <w:rPr>
          <w:rFonts w:hint="eastAsia" w:ascii="仿宋" w:hAnsi="仿宋" w:eastAsia="仿宋" w:cs="仿宋"/>
          <w:sz w:val="32"/>
          <w:szCs w:val="32"/>
        </w:rPr>
        <w:t>亿元；新能源项目</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投资额</w:t>
      </w:r>
      <w:r>
        <w:rPr>
          <w:rFonts w:hint="eastAsia" w:ascii="仿宋" w:hAnsi="仿宋" w:eastAsia="仿宋" w:cs="仿宋"/>
          <w:sz w:val="32"/>
          <w:szCs w:val="32"/>
          <w:lang w:val="en-US" w:eastAsia="zh-CN"/>
        </w:rPr>
        <w:t>5.29</w:t>
      </w:r>
      <w:r>
        <w:rPr>
          <w:rFonts w:hint="eastAsia" w:ascii="仿宋" w:hAnsi="仿宋" w:eastAsia="仿宋" w:cs="仿宋"/>
          <w:sz w:val="32"/>
          <w:szCs w:val="32"/>
        </w:rPr>
        <w:t>亿元；生物医药项目</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投资额5</w:t>
      </w:r>
      <w:r>
        <w:rPr>
          <w:rFonts w:hint="eastAsia" w:ascii="仿宋" w:hAnsi="仿宋" w:eastAsia="仿宋" w:cs="仿宋"/>
          <w:sz w:val="32"/>
          <w:szCs w:val="32"/>
          <w:lang w:val="en-US" w:eastAsia="zh-CN"/>
        </w:rPr>
        <w:t>.85</w:t>
      </w:r>
      <w:r>
        <w:rPr>
          <w:rFonts w:hint="eastAsia" w:ascii="仿宋" w:hAnsi="仿宋" w:eastAsia="仿宋" w:cs="仿宋"/>
          <w:sz w:val="32"/>
          <w:szCs w:val="32"/>
        </w:rPr>
        <w:t>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战略性新兴产业投资平稳增长。</w:t>
      </w:r>
      <w:r>
        <w:rPr>
          <w:rFonts w:hint="eastAsia" w:ascii="仿宋" w:hAnsi="仿宋" w:eastAsia="仿宋" w:cs="仿宋"/>
          <w:b w:val="0"/>
          <w:bCs w:val="0"/>
          <w:sz w:val="32"/>
          <w:szCs w:val="32"/>
          <w:lang w:val="en-US" w:eastAsia="zh-CN"/>
        </w:rPr>
        <w:t>前三季度，我区战略性新兴产业在建项目117个，同比增长42.7%；完成投资增长6.5%。新能源产业完成投资同比增长4倍；生物产业同比增长1.6倍；新材料产业同比增长1.2倍。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w:t>
      </w:r>
      <w:bookmarkStart w:id="0" w:name="_GoBack"/>
      <w:bookmarkEnd w:id="0"/>
      <w:r>
        <w:rPr>
          <w:rFonts w:hint="eastAsia" w:ascii="黑体" w:hAnsi="黑体" w:eastAsia="黑体" w:cs="黑体"/>
          <w:b/>
          <w:bCs/>
          <w:sz w:val="32"/>
          <w:szCs w:val="32"/>
          <w:lang w:val="en-US" w:eastAsia="zh-CN"/>
        </w:rPr>
        <w:t>、下阶段展望与对策建议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面对当前严峻复杂的国内外经济环境，我</w:t>
      </w:r>
      <w:r>
        <w:rPr>
          <w:rFonts w:hint="eastAsia" w:ascii="仿宋" w:hAnsi="仿宋" w:eastAsia="仿宋" w:cs="仿宋"/>
          <w:color w:val="000000" w:themeColor="text1"/>
          <w:sz w:val="32"/>
          <w:szCs w:val="32"/>
          <w:shd w:val="clear" w:fill="FFFFFF"/>
          <w:lang w:eastAsia="zh-CN"/>
          <w14:textFill>
            <w14:solidFill>
              <w14:schemeClr w14:val="tx1"/>
            </w14:solidFill>
          </w14:textFill>
        </w:rPr>
        <w:t>区正处于爬坡过坎，攻坚克难转型升级的关键时期，今后</w:t>
      </w:r>
      <w:r>
        <w:rPr>
          <w:rFonts w:hint="eastAsia" w:ascii="仿宋" w:hAnsi="仿宋" w:eastAsia="仿宋" w:cs="仿宋"/>
          <w:color w:val="000000" w:themeColor="text1"/>
          <w:sz w:val="32"/>
          <w:szCs w:val="32"/>
          <w:shd w:val="clear" w:fill="FFFFFF"/>
          <w14:textFill>
            <w14:solidFill>
              <w14:schemeClr w14:val="tx1"/>
            </w14:solidFill>
          </w14:textFill>
        </w:rPr>
        <w:t>稳增长压力依然较大。</w:t>
      </w:r>
      <w:r>
        <w:rPr>
          <w:rFonts w:hint="eastAsia" w:ascii="仿宋" w:hAnsi="仿宋" w:eastAsia="仿宋" w:cs="仿宋"/>
          <w:color w:val="000000" w:themeColor="text1"/>
          <w:sz w:val="32"/>
          <w:szCs w:val="32"/>
          <w:shd w:val="clear" w:fill="FFFFFF"/>
          <w:lang w:eastAsia="zh-CN"/>
          <w14:textFill>
            <w14:solidFill>
              <w14:schemeClr w14:val="tx1"/>
            </w14:solidFill>
          </w14:textFill>
        </w:rPr>
        <w:t>但我区经济运行中的积极因素不断积累，经济发展稳中的趋势没有改变，向高质量发展的趋势愈加稳固。综合研判，</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2019年全年我区经济总体上仍保持平稳增长，经济增速将继续处于合理区间。</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b w:val="0"/>
          <w:bCs w:val="0"/>
          <w:kern w:val="124"/>
          <w:sz w:val="32"/>
          <w:szCs w:val="32"/>
          <w:lang w:val="en-US" w:eastAsia="zh-CN"/>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下阶段，要</w:t>
      </w:r>
      <w:r>
        <w:rPr>
          <w:rFonts w:hint="eastAsia" w:ascii="仿宋" w:hAnsi="仿宋" w:eastAsia="仿宋" w:cs="仿宋"/>
          <w:color w:val="000000" w:themeColor="text1"/>
          <w:sz w:val="32"/>
          <w:szCs w:val="32"/>
          <w:shd w:val="clear" w:fill="FFFFFF"/>
          <w14:textFill>
            <w14:solidFill>
              <w14:schemeClr w14:val="tx1"/>
            </w14:solidFill>
          </w14:textFill>
        </w:rPr>
        <w:t>抢抓京津冀协同发展的历史机遇，深入落实新发展理念，紧扣高质量发展要求，坚定信心、保持定力、稳扎稳打、持续推进，进一步增强经济发展韧性，深化巩固向好势头，促进全</w:t>
      </w:r>
      <w:r>
        <w:rPr>
          <w:rFonts w:hint="eastAsia" w:ascii="仿宋" w:hAnsi="仿宋" w:eastAsia="仿宋" w:cs="仿宋"/>
          <w:color w:val="000000" w:themeColor="text1"/>
          <w:sz w:val="32"/>
          <w:szCs w:val="32"/>
          <w:shd w:val="clear" w:fill="FFFFFF"/>
          <w:lang w:eastAsia="zh-CN"/>
          <w14:textFill>
            <w14:solidFill>
              <w14:schemeClr w14:val="tx1"/>
            </w14:solidFill>
          </w14:textFill>
        </w:rPr>
        <w:t>区</w:t>
      </w:r>
      <w:r>
        <w:rPr>
          <w:rFonts w:hint="eastAsia" w:ascii="仿宋" w:hAnsi="仿宋" w:eastAsia="仿宋" w:cs="仿宋"/>
          <w:color w:val="000000" w:themeColor="text1"/>
          <w:sz w:val="32"/>
          <w:szCs w:val="32"/>
          <w:shd w:val="clear" w:fill="FFFFFF"/>
          <w14:textFill>
            <w14:solidFill>
              <w14:schemeClr w14:val="tx1"/>
            </w14:solidFill>
          </w14:textFill>
        </w:rPr>
        <w:t>经济平稳健康发展。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b w:val="0"/>
          <w:bCs w:val="0"/>
          <w:kern w:val="124"/>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right"/>
        <w:textAlignment w:val="auto"/>
        <w:outlineLvl w:val="9"/>
        <w:rPr>
          <w:rFonts w:hint="eastAsia" w:ascii="仿宋" w:hAnsi="仿宋" w:eastAsia="仿宋" w:cs="仿宋"/>
          <w:b w:val="0"/>
          <w:bCs w:val="0"/>
          <w:kern w:val="124"/>
          <w:sz w:val="32"/>
          <w:szCs w:val="32"/>
          <w:lang w:val="en-US" w:eastAsia="zh-CN"/>
        </w:rPr>
      </w:pPr>
      <w:r>
        <w:rPr>
          <w:rFonts w:hint="eastAsia" w:ascii="仿宋" w:hAnsi="仿宋" w:eastAsia="仿宋" w:cs="仿宋"/>
          <w:b w:val="0"/>
          <w:bCs w:val="0"/>
          <w:kern w:val="124"/>
          <w:sz w:val="32"/>
          <w:szCs w:val="32"/>
          <w:lang w:val="en-US" w:eastAsia="zh-CN"/>
        </w:rPr>
        <w:t>撰稿人：胡俊丽</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right"/>
        <w:textAlignment w:val="auto"/>
        <w:outlineLvl w:val="9"/>
        <w:rPr>
          <w:rFonts w:hint="eastAsia" w:ascii="仿宋" w:hAnsi="仿宋" w:eastAsia="仿宋" w:cs="仿宋"/>
          <w:b w:val="0"/>
          <w:bCs w:val="0"/>
          <w:kern w:val="124"/>
          <w:sz w:val="32"/>
          <w:szCs w:val="32"/>
          <w:lang w:val="en-US" w:eastAsia="zh-CN"/>
        </w:rPr>
      </w:pPr>
      <w:r>
        <w:rPr>
          <w:rFonts w:hint="eastAsia" w:ascii="仿宋" w:hAnsi="仿宋" w:eastAsia="仿宋" w:cs="仿宋"/>
          <w:b w:val="0"/>
          <w:bCs w:val="0"/>
          <w:kern w:val="124"/>
          <w:sz w:val="32"/>
          <w:szCs w:val="32"/>
          <w:lang w:val="en-US" w:eastAsia="zh-CN"/>
        </w:rPr>
        <w:t xml:space="preserve">  核稿人：董金生</w:t>
      </w:r>
    </w:p>
    <w:sectPr>
      <w:footerReference r:id="rId3" w:type="default"/>
      <w:pgSz w:w="11907" w:h="16840"/>
      <w:pgMar w:top="1440" w:right="1800" w:bottom="1440" w:left="1800" w:header="851" w:footer="992" w:gutter="0"/>
      <w:pgBorders w:offsetFrom="page">
        <w:top w:val="none" w:sz="0" w:space="0"/>
        <w:left w:val="none" w:sz="0" w:space="0"/>
        <w:bottom w:val="none" w:sz="0" w:space="0"/>
        <w:right w:val="none" w:sz="0" w:space="0"/>
      </w:pgBorders>
      <w:cols w:space="0" w:num="1"/>
      <w:rtlGutter w:val="0"/>
      <w:docGrid w:type="lines"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文星仿宋">
    <w:altName w:val="仿宋"/>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36D53"/>
    <w:rsid w:val="02AC23AE"/>
    <w:rsid w:val="03736D53"/>
    <w:rsid w:val="039B7640"/>
    <w:rsid w:val="0B076933"/>
    <w:rsid w:val="0B9952D5"/>
    <w:rsid w:val="0EB230FD"/>
    <w:rsid w:val="1A783F05"/>
    <w:rsid w:val="1C196A0A"/>
    <w:rsid w:val="29433CD4"/>
    <w:rsid w:val="29B971D4"/>
    <w:rsid w:val="29D146AC"/>
    <w:rsid w:val="2C69120E"/>
    <w:rsid w:val="2D961963"/>
    <w:rsid w:val="2E2C4A0A"/>
    <w:rsid w:val="2E3423DC"/>
    <w:rsid w:val="3058057A"/>
    <w:rsid w:val="32535F12"/>
    <w:rsid w:val="32CE5FD5"/>
    <w:rsid w:val="33AF3963"/>
    <w:rsid w:val="3BE22D55"/>
    <w:rsid w:val="41432252"/>
    <w:rsid w:val="421A081D"/>
    <w:rsid w:val="46115B2D"/>
    <w:rsid w:val="48496BF1"/>
    <w:rsid w:val="4BDA74C6"/>
    <w:rsid w:val="4C6F5B36"/>
    <w:rsid w:val="4EAD0D96"/>
    <w:rsid w:val="57291F2D"/>
    <w:rsid w:val="581C3404"/>
    <w:rsid w:val="5F6F1131"/>
    <w:rsid w:val="64667576"/>
    <w:rsid w:val="6A3D223D"/>
    <w:rsid w:val="7326382B"/>
    <w:rsid w:val="74FA5068"/>
    <w:rsid w:val="7C4B0C32"/>
    <w:rsid w:val="7F2F44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44"/>
      <w:sz w:val="24"/>
      <w:szCs w:val="24"/>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rPr>
      <w:rFonts w:eastAsia="文星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szCs w:val="24"/>
      <w:lang w:val="en-US" w:eastAsia="zh-CN" w:bidi="ar"/>
    </w:rPr>
  </w:style>
  <w:style w:type="character" w:styleId="10">
    <w:name w:val="FollowedHyperlink"/>
    <w:basedOn w:val="9"/>
    <w:qFormat/>
    <w:uiPriority w:val="0"/>
    <w:rPr>
      <w:color w:val="333333"/>
      <w:u w:val="none"/>
    </w:rPr>
  </w:style>
  <w:style w:type="character" w:styleId="11">
    <w:name w:val="Emphasis"/>
    <w:basedOn w:val="9"/>
    <w:qFormat/>
    <w:uiPriority w:val="0"/>
    <w:rPr>
      <w:rFonts w:hint="eastAsia" w:ascii="微软雅黑" w:hAnsi="微软雅黑" w:eastAsia="微软雅黑" w:cs="微软雅黑"/>
      <w:sz w:val="24"/>
      <w:szCs w:val="24"/>
    </w:rPr>
  </w:style>
  <w:style w:type="character" w:styleId="12">
    <w:name w:val="HTML Definition"/>
    <w:basedOn w:val="9"/>
    <w:qFormat/>
    <w:uiPriority w:val="0"/>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foot_dang"/>
    <w:basedOn w:val="9"/>
    <w:qFormat/>
    <w:uiPriority w:val="0"/>
  </w:style>
  <w:style w:type="character" w:customStyle="1" w:styleId="19">
    <w:name w:val="foot_jiucuo"/>
    <w:basedOn w:val="9"/>
    <w:qFormat/>
    <w:uiPriority w:val="0"/>
  </w:style>
  <w:style w:type="character" w:customStyle="1" w:styleId="20">
    <w:name w:val="gaoji"/>
    <w:basedOn w:val="9"/>
    <w:qFormat/>
    <w:uiPriority w:val="0"/>
    <w:rPr>
      <w:color w:val="FFFFFF"/>
      <w:bdr w:val="single" w:color="A73636" w:sz="6" w:space="0"/>
      <w:shd w:val="clear" w:fill="A81818"/>
    </w:rPr>
  </w:style>
  <w:style w:type="character" w:customStyle="1" w:styleId="21">
    <w:name w:val="disabled"/>
    <w:basedOn w:val="9"/>
    <w:qFormat/>
    <w:uiPriority w:val="0"/>
    <w:rPr>
      <w:color w:val="999999"/>
      <w:bdr w:val="single" w:color="C5C5C5" w:sz="6" w:space="0"/>
    </w:rPr>
  </w:style>
  <w:style w:type="character" w:customStyle="1" w:styleId="22">
    <w:name w:val="current"/>
    <w:basedOn w:val="9"/>
    <w:qFormat/>
    <w:uiPriority w:val="0"/>
    <w:rPr>
      <w:b/>
      <w:color w:val="FFFFFF"/>
      <w:bdr w:val="single" w:color="1E72B4" w:sz="6" w:space="0"/>
      <w:shd w:val="clear" w:fill="1E72B4"/>
    </w:rPr>
  </w:style>
  <w:style w:type="character" w:customStyle="1" w:styleId="23">
    <w:name w:val="img_bg_cov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zjz\&#29983;&#20135;&#24635;&#20540;&#21488;&#24080;\2016-2019&#24180;&#20998;&#23395;&#24230;&#22686;&#21152;&#205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a:solidFill>
                  <a:schemeClr val="tx1"/>
                </a:solidFill>
              </a:rPr>
              <a:t>2018</a:t>
            </a:r>
            <a:r>
              <a:rPr altLang="en-US" sz="1200">
                <a:solidFill>
                  <a:schemeClr val="tx1"/>
                </a:solidFill>
              </a:rPr>
              <a:t>年</a:t>
            </a:r>
            <a:r>
              <a:rPr lang="en-US" altLang="zh-CN" sz="1200">
                <a:solidFill>
                  <a:schemeClr val="tx1"/>
                </a:solidFill>
              </a:rPr>
              <a:t>-2019</a:t>
            </a:r>
            <a:r>
              <a:rPr altLang="en-US" sz="1200">
                <a:solidFill>
                  <a:schemeClr val="tx1"/>
                </a:solidFill>
                <a:uFillTx/>
              </a:rPr>
              <a:t>年前</a:t>
            </a:r>
            <a:r>
              <a:rPr altLang="en-US" sz="1200">
                <a:solidFill>
                  <a:schemeClr val="tx1"/>
                </a:solidFill>
              </a:rPr>
              <a:t>三季度地区生产总值及分产业增加值增速</a:t>
            </a:r>
            <a:endParaRPr altLang="en-US" sz="1200">
              <a:solidFill>
                <a:schemeClr val="tx1"/>
              </a:solidFill>
            </a:endParaRPr>
          </a:p>
        </c:rich>
      </c:tx>
      <c:layout>
        <c:manualLayout>
          <c:xMode val="edge"/>
          <c:yMode val="edge"/>
          <c:x val="0.128764153216092"/>
          <c:y val="0.0568862275449102"/>
        </c:manualLayout>
      </c:layout>
      <c:overlay val="0"/>
      <c:spPr>
        <a:noFill/>
        <a:ln>
          <a:noFill/>
        </a:ln>
        <a:effectLst/>
      </c:spPr>
    </c:title>
    <c:autoTitleDeleted val="0"/>
    <c:plotArea>
      <c:layout>
        <c:manualLayout>
          <c:layoutTarget val="inner"/>
          <c:xMode val="edge"/>
          <c:yMode val="edge"/>
          <c:x val="0.111057576487593"/>
          <c:y val="0.172055888223553"/>
          <c:w val="0.840761262346423"/>
          <c:h val="0.734930139720559"/>
        </c:manualLayout>
      </c:layout>
      <c:lineChart>
        <c:grouping val="standard"/>
        <c:varyColors val="0"/>
        <c:ser>
          <c:idx val="0"/>
          <c:order val="0"/>
          <c:tx>
            <c:strRef>
              <c:f>'[2016-2019年分季度增加值.xlsx]Sheet1'!$A$21</c:f>
              <c:strCache>
                <c:ptCount val="1"/>
                <c:pt idx="0">
                  <c:v>增加值合计</c:v>
                </c:pt>
              </c:strCache>
            </c:strRef>
          </c:tx>
          <c:spPr>
            <a:ln w="41275" cap="rnd">
              <a:solidFill>
                <a:srgbClr val="FF0000"/>
              </a:solidFill>
              <a:round/>
              <a:headEnd type="oval"/>
              <a:tailEnd type="oval"/>
            </a:ln>
            <a:effectLst/>
          </c:spPr>
          <c:marker>
            <c:symbol val="none"/>
          </c:marker>
          <c:dLbls>
            <c:dLbl>
              <c:idx val="0"/>
              <c:layout>
                <c:manualLayout>
                  <c:x val="-0.0718545312347248"/>
                  <c:y val="-0.006637168141592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4627040766448"/>
                  <c:y val="-0.04203539823008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79851402874181"/>
                  <c:y val="-0.05309734513274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1977710431127"/>
                  <c:y val="-0.028761061946902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'[2016-2019年分季度增加值.20191104100728608.xlsx]Sheet1'!$D$20:$G$20</c:f>
              <c:strCache>
                <c:ptCount val="4"/>
                <c:pt idx="0">
                  <c:v>2018年全年</c:v>
                </c:pt>
                <c:pt idx="1">
                  <c:v>2019年一季度</c:v>
                </c:pt>
                <c:pt idx="2">
                  <c:v>2019年二季度</c:v>
                </c:pt>
                <c:pt idx="3">
                  <c:v>2019年三季度</c:v>
                </c:pt>
              </c:strCache>
            </c:strRef>
          </c:cat>
          <c:val>
            <c:numRef>
              <c:f>'[2016-2019年分季度增加值.20191104100728608.xlsx]Sheet1'!$D$21:$G$21</c:f>
              <c:numCache>
                <c:formatCode>0.0_ </c:formatCode>
                <c:ptCount val="4"/>
                <c:pt idx="0">
                  <c:v>2.5</c:v>
                </c:pt>
                <c:pt idx="1">
                  <c:v>4.60009184842345</c:v>
                </c:pt>
                <c:pt idx="2">
                  <c:v>4.23663921496338</c:v>
                </c:pt>
                <c:pt idx="3">
                  <c:v>5.05216772511221</c:v>
                </c:pt>
              </c:numCache>
            </c:numRef>
          </c:val>
          <c:smooth val="0"/>
        </c:ser>
        <c:ser>
          <c:idx val="1"/>
          <c:order val="1"/>
          <c:tx>
            <c:strRef>
              <c:f>'[2016-2019年分季度增加值.xlsx]Sheet1'!$A$22</c:f>
              <c:strCache>
                <c:ptCount val="1"/>
                <c:pt idx="0">
                  <c:v>第一产业</c:v>
                </c:pt>
              </c:strCache>
            </c:strRef>
          </c:tx>
          <c:spPr>
            <a:ln w="41275" cap="rnd">
              <a:solidFill>
                <a:schemeClr val="accent2"/>
              </a:solidFill>
              <a:round/>
              <a:headEnd type="diamond"/>
              <a:tailEnd type="diamo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'[2016-2019年分季度增加值.20191104100728608.xlsx]Sheet1'!$D$20:$G$20</c:f>
              <c:strCache>
                <c:ptCount val="4"/>
                <c:pt idx="0">
                  <c:v>2018年全年</c:v>
                </c:pt>
                <c:pt idx="1">
                  <c:v>2019年一季度</c:v>
                </c:pt>
                <c:pt idx="2">
                  <c:v>2019年二季度</c:v>
                </c:pt>
                <c:pt idx="3">
                  <c:v>2019年三季度</c:v>
                </c:pt>
              </c:strCache>
            </c:strRef>
          </c:cat>
          <c:val>
            <c:numRef>
              <c:f>'[2016-2019年分季度增加值.20191104100728608.xlsx]Sheet1'!$D$22:$G$22</c:f>
              <c:numCache>
                <c:formatCode>0.0_ </c:formatCode>
                <c:ptCount val="4"/>
                <c:pt idx="0">
                  <c:v>-4.03081139065921</c:v>
                </c:pt>
                <c:pt idx="1">
                  <c:v>-12.2913357751775</c:v>
                </c:pt>
                <c:pt idx="2">
                  <c:v>-10.5614055167678</c:v>
                </c:pt>
                <c:pt idx="3">
                  <c:v>-12.0564179381471</c:v>
                </c:pt>
              </c:numCache>
            </c:numRef>
          </c:val>
          <c:smooth val="0"/>
        </c:ser>
        <c:ser>
          <c:idx val="2"/>
          <c:order val="2"/>
          <c:tx>
            <c:strRef>
              <c:f>'[2016-2019年分季度增加值.xlsx]Sheet1'!$A$23</c:f>
              <c:strCache>
                <c:ptCount val="1"/>
                <c:pt idx="0">
                  <c:v>第二产业</c:v>
                </c:pt>
              </c:strCache>
            </c:strRef>
          </c:tx>
          <c:spPr>
            <a:ln w="15875" cap="rnd">
              <a:solidFill>
                <a:schemeClr val="accent5">
                  <a:lumMod val="75000"/>
                </a:schemeClr>
              </a:solidFill>
              <a:round/>
              <a:headEnd type="diamond"/>
              <a:tailEnd type="diamond"/>
            </a:ln>
            <a:effectLst/>
          </c:spPr>
          <c:marker>
            <c:symbol val="none"/>
          </c:marker>
          <c:dLbls>
            <c:dLbl>
              <c:idx val="0"/>
              <c:layout>
                <c:manualLayout>
                  <c:x val="-0.0615895982011927"/>
                  <c:y val="0.0109589041095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1306090526933"/>
                  <c:y val="-0.033185840707964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9291230814351"/>
                  <c:y val="-0.055309734513274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9962850718545"/>
                  <c:y val="-0.04203539823008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'[2016-2019年分季度增加值.20191104100728608.xlsx]Sheet1'!$D$20:$G$20</c:f>
              <c:strCache>
                <c:ptCount val="4"/>
                <c:pt idx="0">
                  <c:v>2018年全年</c:v>
                </c:pt>
                <c:pt idx="1">
                  <c:v>2019年一季度</c:v>
                </c:pt>
                <c:pt idx="2">
                  <c:v>2019年二季度</c:v>
                </c:pt>
                <c:pt idx="3">
                  <c:v>2019年三季度</c:v>
                </c:pt>
              </c:strCache>
            </c:strRef>
          </c:cat>
          <c:val>
            <c:numRef>
              <c:f>'[2016-2019年分季度增加值.20191104100728608.xlsx]Sheet1'!$D$23:$G$23</c:f>
              <c:numCache>
                <c:formatCode>0.0_ </c:formatCode>
                <c:ptCount val="4"/>
                <c:pt idx="0">
                  <c:v>1.4342411282794</c:v>
                </c:pt>
                <c:pt idx="1">
                  <c:v>9.97485446756701</c:v>
                </c:pt>
                <c:pt idx="2">
                  <c:v>8.73375282316522</c:v>
                </c:pt>
                <c:pt idx="3">
                  <c:v>8.97909473494171</c:v>
                </c:pt>
              </c:numCache>
            </c:numRef>
          </c:val>
          <c:smooth val="0"/>
        </c:ser>
        <c:ser>
          <c:idx val="3"/>
          <c:order val="3"/>
          <c:tx>
            <c:strRef>
              <c:f>'[2016-2019年分季度增加值.xlsx]Sheet1'!$A$24</c:f>
              <c:strCache>
                <c:ptCount val="1"/>
                <c:pt idx="0">
                  <c:v>第三产业</c:v>
                </c:pt>
              </c:strCache>
            </c:strRef>
          </c:tx>
          <c:spPr>
            <a:ln w="22225" cap="rnd">
              <a:solidFill>
                <a:schemeClr val="accent6">
                  <a:lumMod val="60000"/>
                  <a:lumOff val="40000"/>
                </a:schemeClr>
              </a:solidFill>
              <a:round/>
              <a:headEnd type="oval"/>
              <a:tailEnd type="oval"/>
            </a:ln>
            <a:effectLst/>
          </c:spPr>
          <c:marker>
            <c:symbol val="none"/>
          </c:marker>
          <c:dPt>
            <c:idx val="3"/>
            <c:marker>
              <c:symbol val="none"/>
            </c:marker>
            <c:bubble3D val="0"/>
            <c:spPr>
              <a:ln w="22225" cap="rnd">
                <a:solidFill>
                  <a:schemeClr val="accent6">
                    <a:lumMod val="60000"/>
                    <a:lumOff val="40000"/>
                  </a:schemeClr>
                </a:solidFill>
                <a:round/>
                <a:headEnd type="oval"/>
                <a:tailEnd type="oval" w="med" len="lg"/>
              </a:ln>
              <a:effectLst/>
            </c:spPr>
          </c:dPt>
          <c:dLbls>
            <c:dLbl>
              <c:idx val="0"/>
              <c:layout>
                <c:manualLayout>
                  <c:x val="-0.0469254081532897"/>
                  <c:y val="-0.04383561643835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7276371101769"/>
                  <c:y val="-0.04646017699115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66604751197575"/>
                  <c:y val="-0.03539823008849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'[2016-2019年分季度增加值.20191104100728608.xlsx]Sheet1'!$D$20:$G$20</c:f>
              <c:strCache>
                <c:ptCount val="4"/>
                <c:pt idx="0">
                  <c:v>2018年全年</c:v>
                </c:pt>
                <c:pt idx="1">
                  <c:v>2019年一季度</c:v>
                </c:pt>
                <c:pt idx="2">
                  <c:v>2019年二季度</c:v>
                </c:pt>
                <c:pt idx="3">
                  <c:v>2019年三季度</c:v>
                </c:pt>
              </c:strCache>
            </c:strRef>
          </c:cat>
          <c:val>
            <c:numRef>
              <c:f>'[2016-2019年分季度增加值.20191104100728608.xlsx]Sheet1'!$D$24:$G$24</c:f>
              <c:numCache>
                <c:formatCode>0.0_ </c:formatCode>
                <c:ptCount val="4"/>
                <c:pt idx="0">
                  <c:v>4.3</c:v>
                </c:pt>
                <c:pt idx="1">
                  <c:v>-1.18811871819155</c:v>
                </c:pt>
                <c:pt idx="2">
                  <c:v>-0.817952963930111</c:v>
                </c:pt>
                <c:pt idx="3">
                  <c:v>1.58258410175492</c:v>
                </c:pt>
              </c:numCache>
            </c:numRef>
          </c:val>
          <c:smooth val="0"/>
        </c:ser>
        <c:dLbls>
          <c:showLegendKey val="0"/>
          <c:showVal val="1"/>
          <c:showCatName val="0"/>
          <c:showSerName val="0"/>
          <c:showPercent val="0"/>
          <c:showBubbleSize val="0"/>
        </c:dLbls>
        <c:marker val="0"/>
        <c:smooth val="0"/>
        <c:axId val="645207347"/>
        <c:axId val="920855813"/>
      </c:lineChart>
      <c:catAx>
        <c:axId val="645207347"/>
        <c:scaling>
          <c:orientation val="minMax"/>
        </c:scaling>
        <c:delete val="0"/>
        <c:axPos val="b"/>
        <c:title>
          <c:layout>
            <c:manualLayout>
              <c:xMode val="edge"/>
              <c:yMode val="edge"/>
              <c:x val="0.863318377569144"/>
              <c:y val="0.909021910371901"/>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920855813"/>
        <c:crosses val="autoZero"/>
        <c:auto val="1"/>
        <c:lblAlgn val="ctr"/>
        <c:lblOffset val="100"/>
        <c:noMultiLvlLbl val="0"/>
      </c:catAx>
      <c:valAx>
        <c:axId val="92085581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sz="1200" u="none" strike="noStrike" cap="none" normalizeH="0">
                    <a:solidFill>
                      <a:schemeClr val="tx1"/>
                    </a:solidFill>
                    <a:uFill>
                      <a:solidFill>
                        <a:schemeClr val="tx1">
                          <a:lumMod val="65000"/>
                          <a:lumOff val="35000"/>
                        </a:schemeClr>
                      </a:solidFill>
                    </a:uFill>
                  </a:rPr>
                  <a:t>%</a:t>
                </a:r>
                <a:endParaRPr sz="1200" u="none" strike="noStrike" cap="none" normalizeH="0">
                  <a:solidFill>
                    <a:schemeClr val="tx1"/>
                  </a:solidFill>
                  <a:uFill>
                    <a:solidFill>
                      <a:schemeClr val="tx1">
                        <a:lumMod val="65000"/>
                        <a:lumOff val="35000"/>
                      </a:schemeClr>
                    </a:solidFill>
                  </a:uFill>
                </a:endParaRPr>
              </a:p>
            </c:rich>
          </c:tx>
          <c:layout>
            <c:manualLayout>
              <c:xMode val="edge"/>
              <c:yMode val="edge"/>
              <c:x val="0.062853947546487"/>
              <c:y val="0.0812613902629524"/>
            </c:manualLayout>
          </c:layout>
          <c:overlay val="0"/>
          <c:spPr>
            <a:noFill/>
            <a:ln>
              <a:noFill/>
            </a:ln>
            <a:effectLst/>
          </c:spPr>
        </c:title>
        <c:numFmt formatCode="0.0_ "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645207347"/>
        <c:crosses val="autoZero"/>
        <c:crossBetween val="between"/>
      </c:valAx>
      <c:spPr>
        <a:noFill/>
        <a:ln>
          <a:solidFill>
            <a:schemeClr val="accent1"/>
          </a:solidFill>
        </a:ln>
        <a:effectLst/>
      </c:spPr>
    </c:plotArea>
    <c:legend>
      <c:legendPos val="b"/>
      <c:layout>
        <c:manualLayout>
          <c:xMode val="edge"/>
          <c:yMode val="edge"/>
          <c:x val="0.177621283255086"/>
          <c:y val="0.933916849015317"/>
          <c:w val="0.612564274536106"/>
          <c:h val="0.04857768052516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2019-11-01T00:41:00Z</dcterms:created>
  <dc:creator>yx</dc:creator>
  <cp:lastModifiedBy>yx</cp:lastModifiedBy>
  <cp:lastPrinted>2019-11-04T04:42:00Z</cp:lastPrinted>
  <dcterms:modified xsi:type="dcterms:W3CDTF">2019-11-05T00:27:44Z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